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t>ALLEGATO 2</w:t>
      </w:r>
    </w:p>
    <w:p>
      <w:pPr>
        <w:pStyle w:val="Normal"/>
        <w:rPr>
          <w:b/>
          <w:b/>
        </w:rPr>
      </w:pPr>
      <w:r>
        <w:rPr>
          <w:b/>
        </w:rPr>
      </w:r>
    </w:p>
    <w:p>
      <w:pPr>
        <w:pStyle w:val="Normal"/>
        <w:rPr>
          <w:b/>
          <w:b/>
        </w:rPr>
      </w:pPr>
      <w:r>
        <w:rPr>
          <w:b/>
        </w:rPr>
      </w:r>
    </w:p>
    <w:p>
      <w:pPr>
        <w:pStyle w:val="Normal"/>
        <w:jc w:val="center"/>
        <w:rPr>
          <w:b/>
          <w:b/>
        </w:rPr>
      </w:pPr>
      <w:r>
        <w:rPr>
          <w:b/>
        </w:rPr>
        <w:t>ORDINE DEI PERITI INDUSTRIALI E DEI PERITI INDUSTRIALI LAUREATI DI AREZZO</w:t>
      </w:r>
    </w:p>
    <w:p>
      <w:pPr>
        <w:pStyle w:val="Normal"/>
        <w:rPr>
          <w:b/>
          <w:b/>
        </w:rPr>
      </w:pPr>
      <w:r>
        <w:rPr>
          <w:b/>
        </w:rPr>
      </w:r>
    </w:p>
    <w:p>
      <w:pPr>
        <w:pStyle w:val="Normal"/>
        <w:rPr>
          <w:b/>
          <w:b/>
        </w:rPr>
      </w:pPr>
      <w:r>
        <w:rPr>
          <w:b/>
        </w:rPr>
      </w:r>
    </w:p>
    <w:p>
      <w:pPr>
        <w:pStyle w:val="Normal"/>
        <w:jc w:val="center"/>
        <w:rPr>
          <w:b/>
          <w:b/>
        </w:rPr>
      </w:pPr>
      <w:r>
        <w:rPr>
          <w:b/>
        </w:rPr>
        <w:t>MISURE ANTICORRUTTIVE</w:t>
      </w:r>
    </w:p>
    <w:p>
      <w:pPr>
        <w:pStyle w:val="Normal"/>
        <w:rPr>
          <w:b/>
          <w:b/>
        </w:rPr>
      </w:pPr>
      <w:r>
        <w:rPr>
          <w:b/>
        </w:rPr>
      </w:r>
    </w:p>
    <w:p>
      <w:pPr>
        <w:pStyle w:val="Normal"/>
        <w:pBdr>
          <w:top w:val="single" w:sz="4" w:space="1" w:color="00000A"/>
          <w:left w:val="single" w:sz="4" w:space="4" w:color="00000A"/>
          <w:bottom w:val="single" w:sz="4" w:space="1" w:color="00000A"/>
          <w:right w:val="single" w:sz="4" w:space="4" w:color="00000A"/>
        </w:pBdr>
        <w:jc w:val="left"/>
        <w:rPr>
          <w:b/>
          <w:b/>
        </w:rPr>
      </w:pPr>
      <w:r>
        <w:rPr>
          <w:b/>
        </w:rPr>
        <w:t>M1 - Codice di comportamento</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 xml:space="preserve">L’Ordine adotta il Codice di Comportamento interno all’ente, adeguato ai principi del DPR 62/13, affinchè sia posta particolare importanza ai comportamenti rilevanti ai fini della prevenzione dei reati di corruzione. Il codice ha rilevanza ai fini della responsabilità disciplinare, analogamente ai codici di comportamento delle pubbliche amministrazioni: l’inosservanza, cioè, può dare luogo a misure disciplinari.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Il Codice di Comportamento viene condiviso con il Consiglio e viene adottato. Esso viene illustrato agli operatori con specifici corsi di formazione, già programmati per il 2022. Il Codice prevede alcuni adempimenti in materia di conflitti di interesse.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Implementazione di una parte specifica per gli operatori, per prevenire comportamenti idonei a danneggiare l’immagine dell’amministrazione.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Da definire</w:t>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nel corso degli eventi formativi e della Riunione Anticorruzione, da tenersi ogni anno prima del 31/01.</w:t>
      </w:r>
    </w:p>
    <w:p>
      <w:pPr>
        <w:pStyle w:val="Normal"/>
        <w:pBdr>
          <w:top w:val="single" w:sz="4" w:space="1" w:color="00000A"/>
          <w:left w:val="single" w:sz="4" w:space="4" w:color="00000A"/>
          <w:bottom w:val="single" w:sz="4" w:space="1" w:color="00000A"/>
          <w:right w:val="single" w:sz="4" w:space="4" w:color="00000A"/>
        </w:pBdr>
        <w:rPr/>
      </w:pPr>
      <w:r>
        <w:rPr/>
        <w:t xml:space="preserve">SOGGETTI COINVOLTI NEL MONITORAGGIO: operatori dell’Ufficio. </w:t>
      </w:r>
    </w:p>
    <w:p>
      <w:pPr>
        <w:pStyle w:val="Normal"/>
        <w:rPr/>
      </w:pPr>
      <w:r>
        <w:rPr/>
      </w:r>
      <w:r>
        <w:br w:type="page"/>
      </w:r>
    </w:p>
    <w:p>
      <w:pPr>
        <w:pStyle w:val="Normal"/>
        <w:pBdr>
          <w:top w:val="single" w:sz="4" w:space="1" w:color="00000A"/>
          <w:left w:val="single" w:sz="4" w:space="4" w:color="00000A"/>
          <w:bottom w:val="single" w:sz="4" w:space="1" w:color="00000A"/>
          <w:right w:val="single" w:sz="4" w:space="4" w:color="00000A"/>
        </w:pBdr>
        <w:rPr>
          <w:b/>
          <w:b/>
        </w:rPr>
      </w:pPr>
      <w:r>
        <w:rPr>
          <w:b/>
        </w:rPr>
        <w:t>M2 - Trasparenza</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 xml:space="preserve">Il Responsabile della Trasparenza effettua le pubblicazioni previste dal D.lgs 33/13 nella sezione Amministrazione Trasparente del sito </w:t>
      </w:r>
      <w:r>
        <w:rPr>
          <w:i/>
        </w:rPr>
        <w:t xml:space="preserve">web </w:t>
      </w:r>
      <w:r>
        <w:rPr/>
        <w:t>dell’Ordine. L’Ente, al fine di dare attuazione agli obblighi di pubblicazione ai sensi del d.lgs. n. 33/2013 e della normativa vigente, ha definito una specifica parte del PTPC in cui sono individuate le misure organizzative e descrittive volte ad assicurare la regolarità e la tempestività dei flussi delle informazioni da pubblicare, prevedendo anche uno specifico sistema delle responsabilità.</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Adeguamento della sezione Amministrazione Trasparente alle novità di cui al D.lgs 97/16.</w:t>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Verifica se necessari ulteriori adeguamenti – eventuali integrazioni</w:t>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Verifica se necessari ulteriori adeguamenti – eventuali integrazioni</w:t>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w:t>
      </w:r>
    </w:p>
    <w:p>
      <w:pPr>
        <w:pStyle w:val="Normal"/>
        <w:pBdr>
          <w:top w:val="single" w:sz="4" w:space="1" w:color="00000A"/>
          <w:left w:val="single" w:sz="4" w:space="4" w:color="00000A"/>
          <w:bottom w:val="single" w:sz="4" w:space="1" w:color="00000A"/>
          <w:right w:val="single" w:sz="4" w:space="4" w:color="00000A"/>
        </w:pBdr>
        <w:rPr/>
      </w:pPr>
      <w:r>
        <w:rPr/>
        <w:t>SOGGETTI COINVOLTI tutti gli operatori</w:t>
      </w:r>
    </w:p>
    <w:p>
      <w:pPr>
        <w:pStyle w:val="Normal"/>
        <w:rPr/>
      </w:pPr>
      <w:r>
        <w:rPr/>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rPr>
      </w:pPr>
      <w:r>
        <w:rPr>
          <w:b/>
        </w:rPr>
        <w:t xml:space="preserve">M 3 - Incompatibilità e inconferibilità per posizioni dirigenziali - autocertificazioni </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Viene previsto un sistema di verifica della sussistenza di eventuali condizioni ostative in capo a coloro che rivestono incarichi di amministratore, come definiti dall’art. 1, co. 2, lett. l), del d.lgs. n. 39/2013 - e cioè “gli incarichi di presidente con deleghe gestionali dirette, amministratore delegato e assimilabili, di altro organo di indirizzo dell’attività dell’ente comunque denominato” - e a coloro cui potrebbero venir conferiti incarichi dirigenziali. Assicurarsi che - nel caso di nomina degli amministratori proposta o effettuata dalle p.a. controllanti - le stesse verifichino sulle inconferibilità.</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Qualora sarà necessario, ferma restando l’assenza di personale dipendente allo stato attuale, verrà adottato apposito regolamento e richieste ai soggetti eventualmente interessati le autocertificazioni di carenza di cause ostative.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Qualora sarà necessario: predisposizione, negli atti di attribuzione degli incarichi dirigenziali, le condizioni ostative al conferimento dell’incarico; verrà effettuata dal Responsabile della prevenzione della corruzione, eventualmente in collaborazione con altre strutture di controllo interne alla società, un’attività di vigilanza, sulla base di una programmazione che definisca le modalità e la frequenza delle verifiche anche su segnalazione di soggetti interni ed esterni.</w:t>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Verifiche - integrazioni</w:t>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w:t>
      </w:r>
    </w:p>
    <w:p>
      <w:pPr>
        <w:pStyle w:val="Normal"/>
        <w:rPr/>
      </w:pPr>
      <w:r>
        <w:rPr/>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bCs/>
        </w:rPr>
      </w:pPr>
      <w:r>
        <w:rPr>
          <w:b/>
          <w:bCs/>
        </w:rPr>
        <w:t>M 4 – Regolamento assunzioni</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In relazione ai principi di trasparenza, buon andamento e terzietà dell’attività amministrativa, verranno predisposti, qualora l’Ordine necessiti di personale, regolamenti sull’assunzione del personale, salva l’applicazione delle norme speciali contenute nel CCNL.</w:t>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ad oggi non sono presenti dipendenti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Redazione bozza di regolamento qualora necessaria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Adozione del regolamento e adeguamento processi qualora necessari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 xml:space="preserve">Verifica dell’adempimento e della relativa attuazione da parte del Responsabile anticorruzione. </w:t>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bCs/>
        </w:rPr>
      </w:pPr>
      <w:r>
        <w:rPr>
          <w:b/>
          <w:bCs/>
        </w:rPr>
        <w:t>M 5 – Formazione</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L’Ordine, con il Piano Formazione 2022-2024 allegato al PTPC 2022-2024 ha definito i contenuti, i destinatari e le modalità di erogazione della formazione in materia di prevenzione della corruzione.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Vedi Piano Formazione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Vedi piano Formazione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Vedi piano Formazione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w:t>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rPr>
      </w:pPr>
      <w:r>
        <w:rPr>
          <w:b/>
        </w:rPr>
        <w:t>M 6 – Tutela del dipendente che segnala illeciti (c.d. whistle blower)</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Si prevede, nel caso di futura ed eventuale presenza di dipendenti, l’adozione di misure volte a garantire l’anonimizzazione delle segnalazioni da parte di dipendenti di situazioni di mala gestio dell’ente, secondo modelli di whistler blower.</w:t>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Qualora necessario, redazione modello di segnalazione (vedi allegato al PTPC 2022-24)</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Qualora necessario, valutazione implementazione strumenti di segnalazione (redazione regolamento)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Qualora necessario, valutazione implementazione strumenti di segnalazione (modifica regolamento)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w:t>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rPr>
      </w:pPr>
      <w:r>
        <w:rPr>
          <w:b/>
        </w:rPr>
        <w:t>M 7 – Rotazione del personale o misure alternative (segregazione delle funzioni)</w:t>
      </w:r>
    </w:p>
    <w:p>
      <w:pPr>
        <w:pStyle w:val="Normal"/>
        <w:pBdr>
          <w:top w:val="single" w:sz="4" w:space="1" w:color="00000A"/>
          <w:left w:val="single" w:sz="4" w:space="4" w:color="00000A"/>
          <w:bottom w:val="single" w:sz="4" w:space="1" w:color="00000A"/>
          <w:right w:val="single" w:sz="4" w:space="4" w:color="00000A"/>
        </w:pBdr>
        <w:rPr/>
      </w:pPr>
      <w:r>
        <w:rPr/>
        <w:t>DESCRIZIONE</w:t>
        <w:br/>
        <w:t>In ossequio ai principi di rotazione specificati nel PNA 2016, l’Ordine si adegua gradatamente all’obbligo, secondo quanto segue:</w:t>
      </w:r>
    </w:p>
    <w:p>
      <w:pPr>
        <w:pStyle w:val="Normal"/>
        <w:pBdr>
          <w:top w:val="single" w:sz="4" w:space="1" w:color="00000A"/>
          <w:left w:val="single" w:sz="4" w:space="4" w:color="00000A"/>
          <w:bottom w:val="single" w:sz="4" w:space="1" w:color="00000A"/>
          <w:right w:val="single" w:sz="4" w:space="4" w:color="00000A"/>
        </w:pBdr>
        <w:rPr/>
      </w:pPr>
      <w:r>
        <w:rPr/>
        <w:t>A) Rotazione nell’ambito dello stesso ufficio</w:t>
      </w:r>
    </w:p>
    <w:p>
      <w:pPr>
        <w:pStyle w:val="Normal"/>
        <w:pBdr>
          <w:top w:val="single" w:sz="4" w:space="1" w:color="00000A"/>
          <w:left w:val="single" w:sz="4" w:space="4" w:color="00000A"/>
          <w:bottom w:val="single" w:sz="4" w:space="1" w:color="00000A"/>
          <w:right w:val="single" w:sz="4" w:space="4" w:color="00000A"/>
        </w:pBdr>
        <w:rPr/>
      </w:pPr>
      <w:r>
        <w:rPr/>
        <w:t>Nel triennio, in via graduata e su singoli processi da individuarsi, in assenza di personale dipentente, i Consiglieri incaricati verranno fatti ruotare all’interno dell’Ufficio periodicamente (rotazione c.d. “funzionale”).</w:t>
      </w:r>
    </w:p>
    <w:p>
      <w:pPr>
        <w:pStyle w:val="Normal"/>
        <w:pBdr>
          <w:top w:val="single" w:sz="4" w:space="1" w:color="00000A"/>
          <w:left w:val="single" w:sz="4" w:space="4" w:color="00000A"/>
          <w:bottom w:val="single" w:sz="4" w:space="1" w:color="00000A"/>
          <w:right w:val="single" w:sz="4" w:space="4" w:color="00000A"/>
        </w:pBdr>
        <w:rPr/>
      </w:pPr>
      <w:r>
        <w:rPr/>
        <w:t xml:space="preserve">B) rotazione dei Consiglieri che facciano parte di commissioni interne all’ufficio o all’amministrazione, ad esclusione delle commissioni di gara per cui vedi M10. </w:t>
      </w:r>
    </w:p>
    <w:p>
      <w:pPr>
        <w:pStyle w:val="Normal"/>
        <w:pBdr>
          <w:top w:val="single" w:sz="4" w:space="1" w:color="00000A"/>
          <w:left w:val="single" w:sz="4" w:space="4" w:color="00000A"/>
          <w:bottom w:val="single" w:sz="4" w:space="1" w:color="00000A"/>
          <w:right w:val="single" w:sz="4" w:space="4" w:color="00000A"/>
        </w:pBdr>
        <w:rPr/>
      </w:pPr>
      <w:r>
        <w:rPr/>
        <w:t xml:space="preserve">C) “segregazione delle funzioni” </w:t>
      </w:r>
    </w:p>
    <w:p>
      <w:pPr>
        <w:pStyle w:val="Normal"/>
        <w:pBdr>
          <w:top w:val="single" w:sz="4" w:space="1" w:color="00000A"/>
          <w:left w:val="single" w:sz="4" w:space="4" w:color="00000A"/>
          <w:bottom w:val="single" w:sz="4" w:space="1" w:color="00000A"/>
          <w:right w:val="single" w:sz="4" w:space="4" w:color="00000A"/>
        </w:pBdr>
        <w:rPr/>
      </w:pPr>
      <w:r>
        <w:rPr/>
        <w:t xml:space="preserve">Nel corso del triennio verranno concordati principi di c.d. “segregazione delle funzioni” al fine di attribuire a soggetti diversi i compiti relativi a: a) svolgimento di istruttorie e accertamenti; b) adozione di decisioni; c) attuazione delle decisioni prese; d) effettuazione delle verifiche </w:t>
      </w:r>
    </w:p>
    <w:p>
      <w:pPr>
        <w:pStyle w:val="Normal"/>
        <w:pBdr>
          <w:top w:val="single" w:sz="4" w:space="1" w:color="00000A"/>
          <w:left w:val="single" w:sz="4" w:space="4" w:color="00000A"/>
          <w:bottom w:val="single" w:sz="4" w:space="1" w:color="00000A"/>
          <w:right w:val="single" w:sz="4" w:space="4" w:color="00000A"/>
        </w:pBdr>
        <w:rPr/>
      </w:pPr>
      <w:r>
        <w:rPr/>
        <w:t>D) Rotazione Straordinaria</w:t>
      </w:r>
    </w:p>
    <w:p>
      <w:pPr>
        <w:pStyle w:val="Normal"/>
        <w:pBdr>
          <w:top w:val="single" w:sz="4" w:space="1" w:color="00000A"/>
          <w:left w:val="single" w:sz="4" w:space="4" w:color="00000A"/>
          <w:bottom w:val="single" w:sz="4" w:space="1" w:color="00000A"/>
          <w:right w:val="single" w:sz="4" w:space="4" w:color="00000A"/>
        </w:pBdr>
        <w:rPr/>
      </w:pPr>
      <w:r>
        <w:rPr/>
        <w:t>Il presente piano prevede in ogni caso la rotazione straordinaria nel caso di avvio di procedimenti penali o disciplinari per condotte di natura corruttiva in capo a determinati soggetti.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 - normativa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Adeguamento alla rotazione D) e valutazione regolamenti per le altre tipologie di rotazione.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Allargare la misura a tutti i procedimenti a rischio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highlight w:val="yellow"/>
        </w:rPr>
      </w:pPr>
      <w:r>
        <w:rPr/>
        <w:t>Verifiche - integrazioni</w:t>
      </w:r>
    </w:p>
    <w:p>
      <w:pPr>
        <w:pStyle w:val="Normal"/>
        <w:pBdr>
          <w:top w:val="single" w:sz="4" w:space="1" w:color="00000A"/>
          <w:left w:val="single" w:sz="4" w:space="4" w:color="00000A"/>
          <w:bottom w:val="single" w:sz="4" w:space="1" w:color="00000A"/>
          <w:right w:val="single" w:sz="4" w:space="4" w:color="00000A"/>
        </w:pBdr>
        <w:rPr>
          <w:highlight w:val="yellow"/>
        </w:rPr>
      </w:pPr>
      <w:r>
        <w:rPr>
          <w:highlight w:val="yellow"/>
        </w:rPr>
      </w:r>
    </w:p>
    <w:p>
      <w:pPr>
        <w:pStyle w:val="Normal"/>
        <w:pBdr>
          <w:top w:val="single" w:sz="4" w:space="1" w:color="00000A"/>
          <w:left w:val="single" w:sz="4" w:space="4" w:color="00000A"/>
          <w:bottom w:val="single" w:sz="4" w:space="1" w:color="00000A"/>
          <w:right w:val="single" w:sz="4" w:space="4" w:color="00000A"/>
        </w:pBdr>
        <w:rPr/>
      </w:pPr>
      <w:r>
        <w:rPr/>
        <w:t>MONITORAGGIO ADOZIONE ED EFFICACIA DELLA MISURA</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w:t>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r>
        <w:br w:type="page"/>
      </w:r>
    </w:p>
    <w:p>
      <w:pPr>
        <w:pStyle w:val="Normal"/>
        <w:pBdr>
          <w:top w:val="single" w:sz="4" w:space="1" w:color="00000A"/>
          <w:left w:val="single" w:sz="4" w:space="4" w:color="00000A"/>
          <w:bottom w:val="single" w:sz="4" w:space="1" w:color="00000A"/>
          <w:right w:val="single" w:sz="4" w:space="4" w:color="00000A"/>
        </w:pBdr>
        <w:rPr>
          <w:b/>
          <w:b/>
        </w:rPr>
      </w:pPr>
      <w:r>
        <w:rPr>
          <w:b/>
        </w:rPr>
        <w:t>M 8 – Modello di richiesta di fornitura, beni, servizi e opere</w:t>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La misura consiste nell’adozione, qualora sia necessario acquisire forniture di beni, servizi e opere, di un modello che riassume in un unico documento tutte le fasi dei procedimenti di approvvigionamento beni e servizi, sulla base del Codice Appalti e dei regolamenti interni. In tale modo è possibile verificare, velocemente ed anche a campione, se vi è stato il rispetto della legge e dei regolamenti in materia di appalti e contratti, nei principi dell’evidenza pubblica.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Redazione modello, qualora necessario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Adozione modello, qualora necessario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Ottimizzazione modello</w:t>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del modello.</w:t>
      </w:r>
    </w:p>
    <w:p>
      <w:pPr>
        <w:pStyle w:val="Normal"/>
        <w:rPr/>
      </w:pPr>
      <w:r>
        <w:rPr/>
      </w:r>
    </w:p>
    <w:p>
      <w:pPr>
        <w:pStyle w:val="Normal"/>
        <w:rPr/>
      </w:pPr>
      <w:r>
        <w:rPr/>
      </w:r>
      <w:r>
        <w:br w:type="page"/>
      </w:r>
    </w:p>
    <w:p>
      <w:pPr>
        <w:pStyle w:val="Normal"/>
        <w:pBdr>
          <w:top w:val="single" w:sz="4" w:space="1" w:color="00000A"/>
          <w:left w:val="single" w:sz="4" w:space="4" w:color="00000A"/>
          <w:bottom w:val="single" w:sz="4" w:space="1" w:color="00000A"/>
          <w:right w:val="single" w:sz="4" w:space="4" w:color="00000A"/>
        </w:pBdr>
        <w:rPr>
          <w:b/>
          <w:b/>
        </w:rPr>
      </w:pPr>
      <w:r>
        <w:rPr>
          <w:b/>
        </w:rPr>
        <w:t>M9 – svolgimento incarichi “extra lavorativi”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Il personale dell’Ordine è sottoposto a norme peculiari in ambito giuslavoristico (CCNL) che prevedono particolari forme di esclusività dell’attività lavorativa. In ottica anti-corruttiva, si prevede l’implementazione dei principi di esclusività, adeguando il Codice di Comportamento e i processi di autorizzazione (in analogia con il decreto legislativo n. 165/2001) – Misura attualmente non applicabile, stante l’assenza di dipendenti.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Qualora vi siano in futuro dei dipendenti, la misura sarà adottata con specifica norma del Codice di Comportamento. Utilizzo modelli di comunicazione; richiesta parere legale su incompatibilità lavoro / impresa agricola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Previsione di procedure elettroniche di comunicazione e verifica a campione sul personale, qualora vi siano dipendenti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verifica a campione sul personale, qualora vi siano dipendenti</w:t>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dei modelli.</w:t>
      </w:r>
    </w:p>
    <w:p>
      <w:pPr>
        <w:pStyle w:val="Normal"/>
        <w:rPr/>
      </w:pPr>
      <w:r>
        <w:rPr/>
      </w:r>
      <w:r>
        <w:br w:type="page"/>
      </w:r>
    </w:p>
    <w:p>
      <w:pPr>
        <w:pStyle w:val="Normal"/>
        <w:rPr/>
      </w:pPr>
      <w:r>
        <w:rPr/>
      </w:r>
    </w:p>
    <w:p>
      <w:pPr>
        <w:pStyle w:val="Normal"/>
        <w:pBdr>
          <w:top w:val="single" w:sz="4" w:space="1" w:color="00000A"/>
          <w:left w:val="single" w:sz="4" w:space="4" w:color="00000A"/>
          <w:bottom w:val="single" w:sz="4" w:space="1" w:color="00000A"/>
          <w:right w:val="single" w:sz="4" w:space="4" w:color="00000A"/>
        </w:pBdr>
        <w:rPr>
          <w:b/>
          <w:b/>
        </w:rPr>
      </w:pPr>
      <w:r>
        <w:rPr>
          <w:b/>
        </w:rPr>
        <w:t>M10 – rotazione commissioni di gara</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Rotazione dei componenti chiamati a far parte delle commissioni di gara in modo da evitare che per la stessa tipologia di gara sia nominato più volte consecutive lo stesso membro di commissione. (Salvo applicazione linee guida ANAC su registro dei commissari)</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TIPO DI MISURA</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Organizzativa</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STATO DI ADOZIONE 2022</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Stanti le difficoltà organizzative e la carenza di personale tecnico, la misura verrà attuata gradatamente, in caso si prevedano in futuro gare e cercando la collaborazione e disponibilità di figure tecniche di altre PP.AA (es. Regione, altri Consorzi ecc.)</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SVILUPPO DELLA MISURA PER IL 2023</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Verifiche delle misure - integrazioni</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SVILUPPO DELLA MISURA PER IL 2024</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MONITORAGGIO</w:t>
      </w:r>
    </w:p>
    <w:p>
      <w:pPr>
        <w:pStyle w:val="Normal"/>
        <w:pBdr>
          <w:top w:val="single" w:sz="4" w:space="1" w:color="00000A"/>
          <w:left w:val="single" w:sz="4" w:space="4" w:color="00000A"/>
          <w:bottom w:val="single" w:sz="4" w:space="1" w:color="00000A"/>
          <w:right w:val="single" w:sz="4" w:space="4" w:color="00000A"/>
        </w:pBdr>
        <w:rPr>
          <w:color w:val="231F20"/>
        </w:rPr>
      </w:pPr>
      <w:r>
        <w:rPr>
          <w:color w:val="231F20"/>
        </w:rPr>
        <w:t>Verifica dell’adempimento e della relativa attuazione da parte del Responsabile anticorruzione. Confronto con responsabili nel corso della Riunione Anticorruzione, da tenersi ogni anno prima del 31/01, nel corso della quale verrà verificata la completezza di una o più “schede appalto”.</w:t>
      </w:r>
    </w:p>
    <w:p>
      <w:pPr>
        <w:pStyle w:val="Normal"/>
        <w:rPr>
          <w:color w:val="231F20"/>
        </w:rPr>
      </w:pPr>
      <w:r>
        <w:rPr>
          <w:color w:val="231F20"/>
        </w:rPr>
      </w:r>
    </w:p>
    <w:p>
      <w:pPr>
        <w:pStyle w:val="Normal"/>
        <w:rPr>
          <w:color w:val="231F20"/>
        </w:rPr>
      </w:pPr>
      <w:r>
        <w:rPr>
          <w:color w:val="231F20"/>
        </w:rPr>
      </w:r>
    </w:p>
    <w:p>
      <w:pPr>
        <w:pStyle w:val="Normal"/>
        <w:rPr>
          <w:color w:val="231F20"/>
        </w:rPr>
      </w:pPr>
      <w:r>
        <w:rPr>
          <w:color w:val="231F20"/>
        </w:rPr>
      </w:r>
      <w:r>
        <w:br w:type="page"/>
      </w:r>
    </w:p>
    <w:p>
      <w:pPr>
        <w:pStyle w:val="Normal"/>
        <w:rPr>
          <w:color w:val="231F20"/>
        </w:rPr>
      </w:pPr>
      <w:r>
        <w:rPr>
          <w:color w:val="231F20"/>
        </w:rPr>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M11 </w:t>
      </w:r>
      <w:r>
        <w:rPr>
          <w:b/>
        </w:rPr>
        <w:t xml:space="preserve">- Adozione di misure organizzative relative ai regolamenti ANAC su appalti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 xml:space="preserve">Adozione di regolamenti di attuazione e specificazione della prescrizione di cui al D.lgs 50/16, relativamente agli acquisti beni e servizi e realizzazione opere. In particolare, si prevede l’adeguamento del regolamento affidamenti sottosoglia, regolamento acquisti economali, regolamento per l’istituzione del c.d “registro fornitori”, contenente plurimi soggetti per ciascuna categoria di prestazioni. Si presterà particolare attenzione all’adeguamento dei processi su criteri di rotazione (per assicurare che non venga scelto per più volte consecutive lo stesso soggetto)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Redazione/adozione bozze di regolamenti anche sulle basi delle indicazioni / linee guida di ANAC</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Adozione della misura; istituzione “registro fornitori” contenente plurimi soggetti per ciascuna categoria di prestazioni. Il Regolamento prevede modalità di scelta del contraente su criteri di rotazione (per assicurare che non venga scelto per più volte consecutive lo stesso soggetto)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Rotazione – verifiche - integrazioni</w:t>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di una o più schede.</w:t>
      </w:r>
    </w:p>
    <w:p>
      <w:pPr>
        <w:pStyle w:val="Normal"/>
        <w:rPr/>
      </w:pPr>
      <w:r>
        <w:rPr/>
      </w:r>
    </w:p>
    <w:p>
      <w:pPr>
        <w:pStyle w:val="Normal"/>
        <w:rPr/>
      </w:pPr>
      <w:r>
        <w:rPr/>
      </w:r>
    </w:p>
    <w:p>
      <w:pPr>
        <w:pStyle w:val="Normal"/>
        <w:tabs>
          <w:tab w:val="clear" w:pos="708"/>
          <w:tab w:val="left" w:pos="3315" w:leader="none"/>
        </w:tabs>
        <w:rPr/>
      </w:pPr>
      <w:r>
        <w:rPr/>
        <w:tab/>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M12 </w:t>
      </w:r>
      <w:r>
        <w:rPr>
          <w:b/>
        </w:rPr>
        <w:t>– Controllo elettronico presenze per tutti i dipendenti e verifiche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Il personale dell’Ordine, qualora presente in futuro, sarà dotato di badge per la rilevazione delle presenze e degli orari di lavoro. Al fine di prevenire abusi e violazioni delle regole di presenza del lavoratore sul luogo di lavoro, viene prevista una misura di controllo a campione e casuale delle presenze effettive comparate alle presenze rilevate dal sistema di badge.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Qualora vi sarà in futuro personale dipendente, si prevede la formazione del personale in merito alle procedure di timbratura e sensibilizzazione sulle possibili conseguenze in caso di violazioni. Illustrazione misura del controllo a campione</w:t>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Qualora vi sarà in futuro personale dipendente, si prevede l’adozione della misura e monitoraggio; previsione timbratura geolocalizzata (o sui mezzi o su smartphone)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Adozione della misura e monitoraggio</w:t>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 xml:space="preserve">Verifica dell’adempimento e della relativa attuazione da parte del Responsabile anticorruzione. </w:t>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M13 </w:t>
      </w:r>
      <w:r>
        <w:rPr>
          <w:b/>
        </w:rPr>
        <w:t>– Regolamento per conferimento incarichi e consulenze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Adozione di un regolamento destinato a disciplinare il conferimento di incarichi e consulenze a soggetti esterni, sulla base delle indicazioni di cui all’art. 7 comma 6 del D.lgs 165/01 e secondo principi di evidenza pubblica.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Redazione bozza di regolamento.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Adozione del regolamento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Ottimizzazione del regolamento</w:t>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 xml:space="preserve">Verifica dell’adempimento e della relativa attuazione da parte del Responsabile anticorruzione. </w:t>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M14 </w:t>
      </w:r>
      <w:r>
        <w:rPr>
          <w:b/>
        </w:rPr>
        <w:t>– Regolamento missioni aziendali dei dipendenti / Consiglieri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 xml:space="preserve">Adozione di un regolamento destinato a disciplinare le modalità di svolgimento delle missioni di consiglieri, dirigenti e dei dipendenti, ove presenti. Verifica delle informazioni relative alle spese complessive di trasferta dell’eventuale personale dirigenziale, al fine di effettuare le pubblicazioni di cui all’art. 14 del D.lgs 33/13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Redazione bozza di regolamento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Adozione del regolamento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Ottimizzazione del regolamento</w:t>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del regolamento.</w:t>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tabs>
          <w:tab w:val="clear" w:pos="708"/>
          <w:tab w:val="left" w:pos="3315" w:leader="none"/>
        </w:tabs>
        <w:rPr/>
      </w:pPr>
      <w:r>
        <w:rPr/>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M15 </w:t>
      </w:r>
      <w:r>
        <w:rPr>
          <w:b/>
        </w:rPr>
        <w:t>– Regolamento utilizzo mezzi e strumenti dell’Ente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Adozione di un regolamento destinato a disciplinare l’uso degli strumenti a disposizione dei dipendenti (cellulari, telefoni fissi, p.c., veicoli ecc.), qualora in futuro ve ne siano, anche al fine di coordinare la normativa regolamentare dell’ente con le prescrizioni in materia dettate dall’art. 4 della L. 300/70, così come modificata dal Jobs Act.</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TIPO DI MISURA</w:t>
      </w:r>
    </w:p>
    <w:p>
      <w:pPr>
        <w:pStyle w:val="Normal"/>
        <w:pBdr>
          <w:top w:val="single" w:sz="4" w:space="1" w:color="00000A"/>
          <w:left w:val="single" w:sz="4" w:space="4" w:color="00000A"/>
          <w:bottom w:val="single" w:sz="4" w:space="1" w:color="00000A"/>
          <w:right w:val="single" w:sz="4" w:space="4" w:color="00000A"/>
        </w:pBdr>
        <w:rPr/>
      </w:pPr>
      <w:r>
        <w:rPr/>
        <w:t>Organizzativa</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Qualora in futuro vi siano dipendenti, verrà adottata una bozza di regolamento; previsione dell’adeguamento alla disciplina sulla geolocalizzazione del personale.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2022</w:t>
      </w:r>
    </w:p>
    <w:p>
      <w:pPr>
        <w:pStyle w:val="Normal"/>
        <w:pBdr>
          <w:top w:val="single" w:sz="4" w:space="1" w:color="00000A"/>
          <w:left w:val="single" w:sz="4" w:space="4" w:color="00000A"/>
          <w:bottom w:val="single" w:sz="4" w:space="1" w:color="00000A"/>
          <w:right w:val="single" w:sz="4" w:space="4" w:color="00000A"/>
        </w:pBdr>
        <w:rPr/>
      </w:pPr>
      <w:r>
        <w:rPr/>
        <w:t>Formazione del personale e adozione della misura, qualora presente.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Formazione del personale, qualora presente</w:t>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del regolamento.</w:t>
      </w:r>
    </w:p>
    <w:p>
      <w:pPr>
        <w:pStyle w:val="Normal"/>
        <w:tabs>
          <w:tab w:val="clear" w:pos="708"/>
          <w:tab w:val="left" w:pos="3315" w:leader="none"/>
        </w:tabs>
        <w:rPr/>
      </w:pPr>
      <w:r>
        <w:rPr/>
      </w:r>
      <w:r>
        <w:br w:type="page"/>
      </w:r>
    </w:p>
    <w:p>
      <w:pPr>
        <w:pStyle w:val="Normal"/>
        <w:pBdr>
          <w:top w:val="single" w:sz="4" w:space="1" w:color="00000A"/>
          <w:left w:val="single" w:sz="4" w:space="4" w:color="00000A"/>
          <w:bottom w:val="single" w:sz="4" w:space="1" w:color="00000A"/>
          <w:right w:val="single" w:sz="4" w:space="4" w:color="00000A"/>
        </w:pBdr>
        <w:rPr>
          <w:b/>
          <w:b/>
        </w:rPr>
      </w:pPr>
      <w:r>
        <w:rPr>
          <w:b/>
          <w:color w:val="231F20"/>
        </w:rPr>
        <w:t xml:space="preserve">M16 </w:t>
      </w:r>
      <w:r>
        <w:rPr>
          <w:b/>
        </w:rPr>
        <w:t>– MISURE SPECIALI ORDINI PROFESSIONALI</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u w:val="single"/>
        </w:rPr>
      </w:pPr>
      <w:r>
        <w:rPr>
          <w:u w:val="single"/>
        </w:rPr>
        <w:t>Misure per la formazione professionale continua (concessione di patrocinio)</w:t>
      </w:r>
    </w:p>
    <w:p>
      <w:pPr>
        <w:pStyle w:val="Normal"/>
        <w:pBdr>
          <w:top w:val="single" w:sz="4" w:space="1" w:color="00000A"/>
          <w:left w:val="single" w:sz="4" w:space="4" w:color="00000A"/>
          <w:bottom w:val="single" w:sz="4" w:space="1" w:color="00000A"/>
          <w:right w:val="single" w:sz="4" w:space="4" w:color="00000A"/>
        </w:pBdr>
        <w:rPr>
          <w:u w:val="single"/>
        </w:rPr>
      </w:pPr>
      <w:r>
        <w:rPr>
          <w:u w:val="single"/>
        </w:rPr>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w:t>
        <w:tab/>
        <w:t xml:space="preserve">controlli sull’attribuzione dei patrocini; </w:t>
      </w:r>
    </w:p>
    <w:p>
      <w:pPr>
        <w:pStyle w:val="Normal"/>
        <w:pBdr>
          <w:top w:val="single" w:sz="4" w:space="1" w:color="00000A"/>
          <w:left w:val="single" w:sz="4" w:space="4" w:color="00000A"/>
          <w:bottom w:val="single" w:sz="4" w:space="1" w:color="00000A"/>
          <w:right w:val="single" w:sz="4" w:space="4" w:color="00000A"/>
        </w:pBdr>
        <w:rPr/>
      </w:pPr>
      <w:r>
        <w:rPr/>
        <w:t>-</w:t>
        <w:tab/>
        <w:t>introduzione di adeguate misure di pubblicità e trasparenza legate agli eventi formativi oggetto di patrocinio</w:t>
      </w:r>
    </w:p>
    <w:p>
      <w:pPr>
        <w:pStyle w:val="Normal"/>
        <w:pBdr>
          <w:top w:val="single" w:sz="4" w:space="1" w:color="00000A"/>
          <w:left w:val="single" w:sz="4" w:space="4" w:color="00000A"/>
          <w:bottom w:val="single" w:sz="4" w:space="1" w:color="00000A"/>
          <w:right w:val="single" w:sz="4" w:space="4" w:color="00000A"/>
        </w:pBdr>
        <w:rPr/>
      </w:pPr>
      <w:r>
        <w:rPr/>
        <w:t>-</w:t>
        <w:tab/>
        <w:t>controlli a campione sull’effettiva presenza di Iscritti ai corsi di formazione, in relazione anche all’orario di entrata e uscita dal corso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u w:val="single"/>
        </w:rPr>
      </w:pPr>
      <w:r>
        <w:rPr>
          <w:u w:val="single"/>
        </w:rPr>
        <w:t>Misure per limitare discrezionalità nell’indicazione di professionisti per l’affidamento di incarichi specifici</w:t>
      </w:r>
    </w:p>
    <w:p>
      <w:pPr>
        <w:pStyle w:val="Normal"/>
        <w:pBdr>
          <w:top w:val="single" w:sz="4" w:space="1" w:color="00000A"/>
          <w:left w:val="single" w:sz="4" w:space="4" w:color="00000A"/>
          <w:bottom w:val="single" w:sz="4" w:space="1" w:color="00000A"/>
          <w:right w:val="single" w:sz="4" w:space="4" w:color="00000A"/>
        </w:pBdr>
        <w:rPr>
          <w:b/>
          <w:b/>
          <w:u w:val="single"/>
        </w:rPr>
      </w:pPr>
      <w:r>
        <w:rPr>
          <w:b/>
          <w:u w:val="single"/>
        </w:rPr>
      </w:r>
    </w:p>
    <w:p>
      <w:pPr>
        <w:pStyle w:val="Normal"/>
        <w:pBdr>
          <w:top w:val="single" w:sz="4" w:space="1" w:color="00000A"/>
          <w:left w:val="single" w:sz="4" w:space="4" w:color="00000A"/>
          <w:bottom w:val="single" w:sz="4" w:space="1" w:color="00000A"/>
          <w:right w:val="single" w:sz="4" w:space="4" w:color="00000A"/>
        </w:pBdr>
        <w:rPr/>
      </w:pPr>
      <w:r>
        <w:rPr/>
        <w:t>Descrizione</w:t>
      </w:r>
    </w:p>
    <w:p>
      <w:pPr>
        <w:pStyle w:val="Normal"/>
        <w:pBdr>
          <w:top w:val="single" w:sz="4" w:space="1" w:color="00000A"/>
          <w:left w:val="single" w:sz="4" w:space="4" w:color="00000A"/>
          <w:bottom w:val="single" w:sz="4" w:space="1" w:color="00000A"/>
          <w:right w:val="single" w:sz="4" w:space="4" w:color="00000A"/>
        </w:pBdr>
        <w:rPr/>
      </w:pPr>
      <w:r>
        <w:rPr/>
        <w:t>-</w:t>
        <w:tab/>
        <w:t>Selezione di candidati, tra soggetti in possesso dei necessari requisiti, mediante estrazione a sorte in un’ampia rosa di professionisti.</w:t>
      </w:r>
    </w:p>
    <w:p>
      <w:pPr>
        <w:pStyle w:val="Normal"/>
        <w:pBdr>
          <w:top w:val="single" w:sz="4" w:space="1" w:color="00000A"/>
          <w:left w:val="single" w:sz="4" w:space="4" w:color="00000A"/>
          <w:bottom w:val="single" w:sz="4" w:space="1" w:color="00000A"/>
          <w:right w:val="single" w:sz="4" w:space="4" w:color="00000A"/>
        </w:pBdr>
        <w:rPr/>
      </w:pPr>
      <w:r>
        <w:rPr/>
        <w:t>-</w:t>
        <w:tab/>
        <w:t>Prevedere idonea motivazione dell’indicazione del soggetto (arbitro ecc.) in relazione a specifiche competenze / esperienze / pubblicazioni ecc.</w:t>
      </w:r>
    </w:p>
    <w:p>
      <w:pPr>
        <w:pStyle w:val="Normal"/>
        <w:pBdr>
          <w:top w:val="single" w:sz="4" w:space="1" w:color="00000A"/>
          <w:left w:val="single" w:sz="4" w:space="4" w:color="00000A"/>
          <w:bottom w:val="single" w:sz="4" w:space="1" w:color="00000A"/>
          <w:right w:val="single" w:sz="4" w:space="4" w:color="00000A"/>
        </w:pBdr>
        <w:rPr/>
      </w:pPr>
      <w:r>
        <w:rPr/>
        <w:t>-</w:t>
        <w:tab/>
        <w:t>Possibile rotazione.</w:t>
      </w:r>
    </w:p>
    <w:p>
      <w:pPr>
        <w:pStyle w:val="Normal"/>
        <w:pBdr>
          <w:top w:val="single" w:sz="4" w:space="1" w:color="00000A"/>
          <w:left w:val="single" w:sz="4" w:space="4" w:color="00000A"/>
          <w:bottom w:val="single" w:sz="4" w:space="1" w:color="00000A"/>
          <w:right w:val="single" w:sz="4" w:space="4" w:color="00000A"/>
        </w:pBdr>
        <w:rPr/>
      </w:pPr>
      <w:r>
        <w:rPr/>
        <w:t>-</w:t>
        <w:tab/>
        <w:t xml:space="preserve"> verifica dell’insussistenza di situazioni, anche potenziali, di conflitto di interesse nei confronti del soggetto che nomina il professionista a cui affidare l’incarico richiesto, del professionista designato, dei soggetti pubblici o privati richiedenti, del soggetto destinatario delle prestazioni professionali;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u w:val="single"/>
        </w:rPr>
      </w:pPr>
      <w:r>
        <w:rPr>
          <w:u w:val="single"/>
        </w:rPr>
        <w:t>Misure per gestione convenzioni con soggetti privati per la fornitura di servizi vari a canoni agevolati riservati agli iscritti</w:t>
      </w:r>
    </w:p>
    <w:p>
      <w:pPr>
        <w:pStyle w:val="Normal"/>
        <w:pBdr>
          <w:top w:val="single" w:sz="4" w:space="1" w:color="00000A"/>
          <w:left w:val="single" w:sz="4" w:space="4" w:color="00000A"/>
          <w:bottom w:val="single" w:sz="4" w:space="1" w:color="00000A"/>
          <w:right w:val="single" w:sz="4" w:space="4" w:color="00000A"/>
        </w:pBdr>
        <w:rPr>
          <w:b/>
          <w:b/>
          <w:u w:val="single"/>
        </w:rPr>
      </w:pPr>
      <w:r>
        <w:rPr>
          <w:b/>
          <w:u w:val="single"/>
        </w:rPr>
      </w:r>
    </w:p>
    <w:p>
      <w:pPr>
        <w:pStyle w:val="Normal"/>
        <w:pBdr>
          <w:top w:val="single" w:sz="4" w:space="1" w:color="00000A"/>
          <w:left w:val="single" w:sz="4" w:space="4" w:color="00000A"/>
          <w:bottom w:val="single" w:sz="4" w:space="1" w:color="00000A"/>
          <w:right w:val="single" w:sz="4" w:space="4" w:color="00000A"/>
        </w:pBdr>
        <w:rPr/>
      </w:pPr>
      <w:r>
        <w:rPr/>
        <w:t xml:space="preserve">Descrizione </w:t>
      </w:r>
    </w:p>
    <w:p>
      <w:pPr>
        <w:pStyle w:val="Normal"/>
        <w:pBdr>
          <w:top w:val="single" w:sz="4" w:space="1" w:color="00000A"/>
          <w:left w:val="single" w:sz="4" w:space="4" w:color="00000A"/>
          <w:bottom w:val="single" w:sz="4" w:space="1" w:color="00000A"/>
          <w:right w:val="single" w:sz="4" w:space="4" w:color="00000A"/>
        </w:pBdr>
        <w:rPr/>
      </w:pPr>
      <w:r>
        <w:rPr/>
        <w:t>-</w:t>
        <w:tab/>
        <w:t xml:space="preserve">Prevedere una raccolta/valutazione annuale dei bisogni da parte degli iscritti per identificazione delle aree di maggior interesse </w:t>
      </w:r>
    </w:p>
    <w:p>
      <w:pPr>
        <w:pStyle w:val="Normal"/>
        <w:pBdr>
          <w:top w:val="single" w:sz="4" w:space="1" w:color="00000A"/>
          <w:left w:val="single" w:sz="4" w:space="4" w:color="00000A"/>
          <w:bottom w:val="single" w:sz="4" w:space="1" w:color="00000A"/>
          <w:right w:val="single" w:sz="4" w:space="4" w:color="00000A"/>
        </w:pBdr>
        <w:rPr/>
      </w:pPr>
      <w:r>
        <w:rPr/>
        <w:t>-</w:t>
        <w:tab/>
        <w:t>Selezione dei soggetti privati che propongono le convenzioni attraverso un’analisi di mercato in merito al servizio proposto</w:t>
      </w:r>
    </w:p>
    <w:p>
      <w:pPr>
        <w:pStyle w:val="Normal"/>
        <w:pBdr>
          <w:top w:val="single" w:sz="4" w:space="1" w:color="00000A"/>
          <w:left w:val="single" w:sz="4" w:space="4" w:color="00000A"/>
          <w:bottom w:val="single" w:sz="4" w:space="1" w:color="00000A"/>
          <w:right w:val="single" w:sz="4" w:space="4" w:color="00000A"/>
        </w:pBdr>
        <w:rPr/>
      </w:pPr>
      <w:r>
        <w:rPr/>
        <w:t>-</w:t>
        <w:tab/>
        <w:t>Prevedere idonea motivazione dell’indicazione del soggetto (arbitro ecc.) in relazione a specifiche competenze / esperienze / pubblicazioni ecc.</w:t>
      </w:r>
    </w:p>
    <w:p>
      <w:pPr>
        <w:pStyle w:val="Normal"/>
        <w:pBdr>
          <w:top w:val="single" w:sz="4" w:space="1" w:color="00000A"/>
          <w:left w:val="single" w:sz="4" w:space="4" w:color="00000A"/>
          <w:bottom w:val="single" w:sz="4" w:space="1" w:color="00000A"/>
          <w:right w:val="single" w:sz="4" w:space="4" w:color="00000A"/>
        </w:pBdr>
        <w:rPr/>
      </w:pPr>
      <w:r>
        <w:rPr/>
        <w:t>-</w:t>
        <w:tab/>
        <w:t>Possibile rotazione.</w:t>
      </w:r>
    </w:p>
    <w:p>
      <w:pPr>
        <w:pStyle w:val="Normal"/>
        <w:pBdr>
          <w:top w:val="single" w:sz="4" w:space="1" w:color="00000A"/>
          <w:left w:val="single" w:sz="4" w:space="4" w:color="00000A"/>
          <w:bottom w:val="single" w:sz="4" w:space="1" w:color="00000A"/>
          <w:right w:val="single" w:sz="4" w:space="4" w:color="00000A"/>
        </w:pBdr>
        <w:rPr/>
      </w:pPr>
      <w:r>
        <w:rPr/>
        <w:t>-</w:t>
        <w:tab/>
        <w:t>Verifica dell’insussistenza di situazioni, anche potenziali, di conflitto di interesse nei confronti dei membri del Consiglio e dei soggetti pubblici o privati proponenti la convenzione prestazioni professionali;</w:t>
      </w:r>
    </w:p>
    <w:p>
      <w:pPr>
        <w:pStyle w:val="Normal"/>
        <w:pBdr>
          <w:top w:val="single" w:sz="4" w:space="1" w:color="00000A"/>
          <w:left w:val="single" w:sz="4" w:space="4" w:color="00000A"/>
          <w:bottom w:val="single" w:sz="4" w:space="1" w:color="00000A"/>
          <w:right w:val="single" w:sz="4" w:space="4" w:color="00000A"/>
        </w:pBdr>
        <w:rPr>
          <w:highlight w:val="none"/>
          <w:shd w:fill="auto" w:val="clear"/>
        </w:rPr>
      </w:pPr>
      <w:r>
        <w:rPr>
          <w:shd w:fill="auto" w:val="clear"/>
        </w:rPr>
      </w:r>
    </w:p>
    <w:p>
      <w:pPr>
        <w:pStyle w:val="Normal"/>
        <w:pBdr>
          <w:top w:val="single" w:sz="4" w:space="1" w:color="00000A"/>
          <w:left w:val="single" w:sz="4" w:space="4" w:color="00000A"/>
          <w:bottom w:val="single" w:sz="4" w:space="1" w:color="00000A"/>
          <w:right w:val="single" w:sz="4" w:space="4" w:color="00000A"/>
        </w:pBdr>
        <w:rPr>
          <w:highlight w:val="none"/>
          <w:shd w:fill="auto" w:val="clear"/>
        </w:rPr>
      </w:pPr>
      <w:r>
        <w:rPr>
          <w:shd w:fill="auto" w:val="clear"/>
        </w:rPr>
        <w:t>ALTRE MISURE:</w:t>
      </w:r>
    </w:p>
    <w:p>
      <w:pPr>
        <w:pStyle w:val="Normal"/>
        <w:pBdr>
          <w:top w:val="single" w:sz="4" w:space="1" w:color="00000A"/>
          <w:left w:val="single" w:sz="4" w:space="4" w:color="00000A"/>
          <w:bottom w:val="single" w:sz="4" w:space="1" w:color="00000A"/>
          <w:right w:val="single" w:sz="4" w:space="4" w:color="00000A"/>
        </w:pBdr>
        <w:rPr>
          <w:highlight w:val="none"/>
          <w:shd w:fill="auto" w:val="clear"/>
        </w:rPr>
      </w:pPr>
      <w:r>
        <w:rPr>
          <w:shd w:fill="auto" w:val="clear"/>
        </w:rPr>
        <w:t>- Monitoraggio periodico dello stato avanzamento dei procedimenti di recupero e riscossione dei crediti sia in fase amministrativa sia in fase di riscossione coatta;</w:t>
      </w:r>
    </w:p>
    <w:p>
      <w:pPr>
        <w:pStyle w:val="Normal"/>
        <w:pBdr>
          <w:top w:val="single" w:sz="4" w:space="1" w:color="00000A"/>
          <w:left w:val="single" w:sz="4" w:space="4" w:color="00000A"/>
          <w:bottom w:val="single" w:sz="4" w:space="1" w:color="00000A"/>
          <w:right w:val="single" w:sz="4" w:space="4" w:color="00000A"/>
        </w:pBdr>
        <w:rPr>
          <w:highlight w:val="none"/>
          <w:shd w:fill="auto" w:val="clear"/>
        </w:rPr>
      </w:pPr>
      <w:r>
        <w:rPr>
          <w:shd w:fill="auto" w:val="clear"/>
        </w:rPr>
        <w:t>- Adozione di delibera consiliare per trasmissione elenco morosi a Consiglio di disciplina territoriale</w:t>
      </w:r>
    </w:p>
    <w:p>
      <w:pPr>
        <w:pStyle w:val="Normal"/>
        <w:pBdr>
          <w:top w:val="single" w:sz="4" w:space="1" w:color="00000A"/>
          <w:left w:val="single" w:sz="4" w:space="4" w:color="00000A"/>
          <w:bottom w:val="single" w:sz="4" w:space="1" w:color="00000A"/>
          <w:right w:val="single" w:sz="4" w:space="4" w:color="00000A"/>
        </w:pBdr>
        <w:rPr>
          <w:highlight w:val="none"/>
          <w:shd w:fill="auto" w:val="clear"/>
        </w:rPr>
      </w:pPr>
      <w:r>
        <w:rPr>
          <w:shd w:fill="auto" w:val="clear"/>
        </w:rPr>
        <w:t>- Verifica sulla composizione delle commissioni esaminatrici (assenza di incompatibilità, condanne penali etc)</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STATO DI ADOZIONE 2022</w:t>
      </w:r>
    </w:p>
    <w:p>
      <w:pPr>
        <w:pStyle w:val="Normal"/>
        <w:pBdr>
          <w:top w:val="single" w:sz="4" w:space="1" w:color="00000A"/>
          <w:left w:val="single" w:sz="4" w:space="4" w:color="00000A"/>
          <w:bottom w:val="single" w:sz="4" w:space="1" w:color="00000A"/>
          <w:right w:val="single" w:sz="4" w:space="4" w:color="00000A"/>
        </w:pBdr>
        <w:rPr/>
      </w:pPr>
      <w:r>
        <w:rPr/>
        <w:t>In corso di attuazione</w:t>
      </w:r>
    </w:p>
    <w:p>
      <w:pPr>
        <w:pStyle w:val="Normal"/>
        <w:pBdr>
          <w:top w:val="single" w:sz="4" w:space="1" w:color="00000A"/>
          <w:left w:val="single" w:sz="4" w:space="4" w:color="00000A"/>
          <w:bottom w:val="single" w:sz="4" w:space="1" w:color="00000A"/>
          <w:right w:val="single" w:sz="4" w:space="4" w:color="00000A"/>
        </w:pBdr>
        <w:rPr>
          <w:highlight w:val="yellow"/>
        </w:rPr>
      </w:pPr>
      <w:r>
        <w:rPr>
          <w:highlight w:val="yellow"/>
        </w:rPr>
      </w:r>
    </w:p>
    <w:p>
      <w:pPr>
        <w:pStyle w:val="Normal"/>
        <w:pBdr>
          <w:top w:val="single" w:sz="4" w:space="1" w:color="00000A"/>
          <w:left w:val="single" w:sz="4" w:space="4" w:color="00000A"/>
          <w:bottom w:val="single" w:sz="4" w:space="1" w:color="00000A"/>
          <w:right w:val="single" w:sz="4" w:space="4" w:color="00000A"/>
        </w:pBdr>
        <w:rPr/>
      </w:pPr>
      <w:r>
        <w:rPr/>
        <w:t>SVILUPPO DELLA MISURA PER IL 2023</w:t>
      </w:r>
    </w:p>
    <w:p>
      <w:pPr>
        <w:pStyle w:val="Normal"/>
        <w:pBdr>
          <w:top w:val="single" w:sz="4" w:space="1" w:color="00000A"/>
          <w:left w:val="single" w:sz="4" w:space="4" w:color="00000A"/>
          <w:bottom w:val="single" w:sz="4" w:space="1" w:color="00000A"/>
          <w:right w:val="single" w:sz="4" w:space="4" w:color="00000A"/>
        </w:pBdr>
        <w:rPr/>
      </w:pPr>
      <w:r>
        <w:rPr/>
        <w:t>Verifica dell’avvenuta attuazione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SVILUPPO DELLA MISURA PER IL 2024</w:t>
      </w:r>
    </w:p>
    <w:p>
      <w:pPr>
        <w:pStyle w:val="Normal"/>
        <w:pBdr>
          <w:top w:val="single" w:sz="4" w:space="1" w:color="00000A"/>
          <w:left w:val="single" w:sz="4" w:space="4" w:color="00000A"/>
          <w:bottom w:val="single" w:sz="4" w:space="1" w:color="00000A"/>
          <w:right w:val="single" w:sz="4" w:space="4" w:color="00000A"/>
        </w:pBdr>
        <w:rPr/>
      </w:pPr>
      <w:r>
        <w:rPr/>
        <w:t>Integrazioni - verifiche</w:t>
      </w:r>
      <w:bookmarkStart w:id="0" w:name="_GoBack"/>
      <w:bookmarkEnd w:id="0"/>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MONITORAGGIO</w:t>
      </w:r>
    </w:p>
    <w:p>
      <w:pPr>
        <w:pStyle w:val="Normal"/>
        <w:pBdr>
          <w:top w:val="single" w:sz="4" w:space="1" w:color="00000A"/>
          <w:left w:val="single" w:sz="4" w:space="4" w:color="00000A"/>
          <w:bottom w:val="single" w:sz="4" w:space="1" w:color="00000A"/>
          <w:right w:val="single" w:sz="4" w:space="4" w:color="00000A"/>
        </w:pBdr>
        <w:rPr/>
      </w:pPr>
      <w:r>
        <w:rPr/>
        <w:t>Verifica dell’adempimento e della relativa attuazione da parte del Responsabile anticorruzione. Confronto con responsabili nel corso della Riunione Anticorruzione, da tenersi ogni anno prima del 31/01, nel corso della quale verrà verificata la completezza del regolamento.</w:t>
      </w:r>
    </w:p>
    <w:sectPr>
      <w:type w:val="nextPage"/>
      <w:pgSz w:w="11906" w:h="16838"/>
      <w:pgMar w:left="1134" w:right="1134" w:gutter="0" w:header="0" w:top="1417" w:footer="0" w:bottom="1134"/>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both"/>
    </w:pPr>
    <w:rPr>
      <w:rFonts w:ascii="Calibri" w:hAnsi="Calibri" w:eastAsia="Calibri" w:cs="Times New Roman"/>
      <w:color w:val="auto"/>
      <w:kern w:val="0"/>
      <w:sz w:val="22"/>
      <w:szCs w:val="22"/>
      <w:lang w:eastAsia="en-US" w:val="it-IT" w:bidi="ar-SA"/>
    </w:rPr>
  </w:style>
  <w:style w:type="character" w:styleId="DefaultParagraphFont" w:default="1">
    <w:name w:val="Default Paragraph Font"/>
    <w:uiPriority w:val="1"/>
    <w:unhideWhenUsed/>
    <w:qFormat/>
    <w:rPr/>
  </w:style>
  <w:style w:type="character" w:styleId="TestofumettoCarattere" w:customStyle="1">
    <w:name w:val="Testo fumetto Carattere"/>
    <w:link w:val="Testofumetto"/>
    <w:uiPriority w:val="99"/>
    <w:semiHidden/>
    <w:qFormat/>
    <w:rsid w:val="00fc4b8e"/>
    <w:rPr>
      <w:rFonts w:ascii="Tahoma" w:hAnsi="Tahoma" w:cs="Tahoma"/>
      <w:sz w:val="16"/>
      <w:szCs w:val="16"/>
      <w:lang w:eastAsia="en-US"/>
    </w:rPr>
  </w:style>
  <w:style w:type="character" w:styleId="IntestazioneCarattere" w:customStyle="1">
    <w:name w:val="Intestazione Carattere"/>
    <w:basedOn w:val="DefaultParagraphFont"/>
    <w:link w:val="Intestazione"/>
    <w:uiPriority w:val="99"/>
    <w:qFormat/>
    <w:rsid w:val="002a6348"/>
    <w:rPr>
      <w:sz w:val="22"/>
      <w:szCs w:val="22"/>
      <w:lang w:eastAsia="en-US"/>
    </w:rPr>
  </w:style>
  <w:style w:type="character" w:styleId="PidipaginaCarattere" w:customStyle="1">
    <w:name w:val="Piè di pagina Carattere"/>
    <w:basedOn w:val="DefaultParagraphFont"/>
    <w:link w:val="Pidipagina"/>
    <w:uiPriority w:val="99"/>
    <w:qFormat/>
    <w:rsid w:val="002a6348"/>
    <w:rPr>
      <w:sz w:val="22"/>
      <w:szCs w:val="22"/>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stofumettoCarattere"/>
    <w:uiPriority w:val="99"/>
    <w:semiHidden/>
    <w:unhideWhenUsed/>
    <w:qFormat/>
    <w:rsid w:val="00fc4b8e"/>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2a6348"/>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2a6348"/>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Application>LibreOffice/7.2.4.1$Windows_X86_64 LibreOffice_project/27d75539669ac387bb498e35313b970b7fe9c4f9</Application>
  <AppVersion>15.0000</AppVersion>
  <DocSecurity>0</DocSecurity>
  <Pages>17</Pages>
  <Words>2742</Words>
  <Characters>17229</Characters>
  <CharactersWithSpaces>19778</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2021-11-25T11:49:00Z</dcterms:created>
  <dc:creator>paolo</dc:creator>
  <dc:description/>
  <dc:language>it-IT</dc:language>
  <cp:lastModifiedBy/>
  <cp:lastPrinted>2016-10-19T09:42:00Z</cp:lastPrinted>
  <dcterms:modified xsi:type="dcterms:W3CDTF">2022-01-16T15:05:21Z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