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r>
    </w:p>
    <w:p>
      <w:pPr>
        <w:pStyle w:val="Normal"/>
        <w:rPr>
          <w:b/>
          <w:b/>
        </w:rPr>
      </w:pPr>
      <w:r>
        <w:rPr>
          <w:b/>
        </w:rPr>
        <w:t>ALLEGATO 2</w:t>
      </w:r>
    </w:p>
    <w:p>
      <w:pPr>
        <w:pStyle w:val="Normal"/>
        <w:rPr>
          <w:b/>
          <w:b/>
        </w:rPr>
      </w:pPr>
      <w:r>
        <w:rPr>
          <w:b/>
        </w:rPr>
      </w:r>
    </w:p>
    <w:p>
      <w:pPr>
        <w:pStyle w:val="Normal"/>
        <w:rPr>
          <w:b/>
          <w:b/>
        </w:rPr>
      </w:pPr>
      <w:r>
        <w:rPr>
          <w:b/>
        </w:rPr>
      </w:r>
    </w:p>
    <w:p>
      <w:pPr>
        <w:pStyle w:val="Normal"/>
        <w:jc w:val="center"/>
        <w:rPr>
          <w:b/>
          <w:b/>
        </w:rPr>
      </w:pPr>
      <w:r>
        <w:rPr>
          <w:b/>
        </w:rPr>
        <w:t>ORDINE DEI PERITI INDUSTRIALI E DEI PERITI INDUSTRIALI LAUREATI DI AREZZO</w:t>
      </w:r>
    </w:p>
    <w:p>
      <w:pPr>
        <w:pStyle w:val="Normal"/>
        <w:rPr>
          <w:b/>
          <w:b/>
        </w:rPr>
      </w:pPr>
      <w:r>
        <w:rPr>
          <w:b/>
        </w:rPr>
      </w:r>
    </w:p>
    <w:p>
      <w:pPr>
        <w:pStyle w:val="Normal"/>
        <w:rPr>
          <w:b/>
          <w:b/>
        </w:rPr>
      </w:pPr>
      <w:r>
        <w:rPr>
          <w:b/>
        </w:rPr>
      </w:r>
    </w:p>
    <w:p>
      <w:pPr>
        <w:pStyle w:val="Normal"/>
        <w:jc w:val="center"/>
        <w:rPr>
          <w:b/>
          <w:b/>
        </w:rPr>
      </w:pPr>
      <w:r>
        <w:rPr>
          <w:b/>
        </w:rPr>
        <w:t>MISURE ANTICORRUTTIVE</w:t>
      </w:r>
    </w:p>
    <w:p>
      <w:pPr>
        <w:pStyle w:val="Normal"/>
        <w:rPr>
          <w:b/>
          <w:b/>
        </w:rPr>
      </w:pPr>
      <w:r>
        <w:rPr>
          <w:b/>
        </w:rPr>
      </w:r>
    </w:p>
    <w:p>
      <w:pPr>
        <w:pStyle w:val="Normal"/>
        <w:pBdr>
          <w:top w:val="single" w:sz="4" w:space="1" w:color="00000A"/>
          <w:left w:val="single" w:sz="4" w:space="4" w:color="00000A"/>
          <w:bottom w:val="single" w:sz="4" w:space="1" w:color="00000A"/>
          <w:right w:val="single" w:sz="4" w:space="4" w:color="00000A"/>
        </w:pBdr>
        <w:jc w:val="left"/>
        <w:rPr>
          <w:b/>
          <w:b/>
        </w:rPr>
      </w:pPr>
      <w:r>
        <w:rPr>
          <w:b/>
        </w:rPr>
        <w:t>M1 - Codice di comportamento</w:t>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 xml:space="preserve">L’Ordine adotta il Codice di Comportamento interno all’ente, adeguato ai principi del DPR 62/13, affinchè sia posta particolare importanza ai comportamenti rilevanti ai fini della prevenzione dei reati di corruzione. Il codice ha rilevanza ai fini della responsabilità disciplinare, analogamente ai codici di comportamento delle pubbliche amministrazioni: l’inosservanza, cioè, può dare luogo a misure disciplinari.  </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 - normativa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2022</w:t>
      </w:r>
    </w:p>
    <w:p>
      <w:pPr>
        <w:pStyle w:val="Normal"/>
        <w:pBdr>
          <w:top w:val="single" w:sz="4" w:space="1" w:color="00000A"/>
          <w:left w:val="single" w:sz="4" w:space="4" w:color="00000A"/>
          <w:bottom w:val="single" w:sz="4" w:space="1" w:color="00000A"/>
          <w:right w:val="single" w:sz="4" w:space="4" w:color="00000A"/>
        </w:pBdr>
        <w:rPr/>
      </w:pPr>
      <w:r>
        <w:rPr/>
        <w:t>Il Codice di Comportamento viene condiviso con il Consiglio e viene adottato. Esso viene illustrato agli operatori con specifici corsi di formazione, già programmati per il 2022. Il Codice prevede alcuni adempimenti in materia di conflitti di interesse.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2023</w:t>
      </w:r>
    </w:p>
    <w:p>
      <w:pPr>
        <w:pStyle w:val="Normal"/>
        <w:pBdr>
          <w:top w:val="single" w:sz="4" w:space="1" w:color="00000A"/>
          <w:left w:val="single" w:sz="4" w:space="4" w:color="00000A"/>
          <w:bottom w:val="single" w:sz="4" w:space="1" w:color="00000A"/>
          <w:right w:val="single" w:sz="4" w:space="4" w:color="00000A"/>
        </w:pBdr>
        <w:rPr/>
      </w:pPr>
      <w:r>
        <w:rPr/>
        <w:t>Implementazione di una parte specifica per gli operatori, per prevenire comportamenti idonei a danneggiare l’immagine dell’amministrazione.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2024</w:t>
      </w:r>
    </w:p>
    <w:p>
      <w:pPr>
        <w:pStyle w:val="Normal"/>
        <w:pBdr>
          <w:top w:val="single" w:sz="4" w:space="1" w:color="00000A"/>
          <w:left w:val="single" w:sz="4" w:space="4" w:color="00000A"/>
          <w:bottom w:val="single" w:sz="4" w:space="1" w:color="00000A"/>
          <w:right w:val="single" w:sz="4" w:space="4" w:color="00000A"/>
        </w:pBdr>
        <w:rPr/>
      </w:pPr>
      <w:r>
        <w:rPr/>
        <w:t>Da definire</w:t>
      </w:r>
    </w:p>
    <w:p>
      <w:pPr>
        <w:pStyle w:val="Normal"/>
        <w:pBdr>
          <w:top w:val="single" w:sz="4" w:space="1" w:color="00000A"/>
          <w:left w:val="single" w:sz="4" w:space="4" w:color="00000A"/>
          <w:bottom w:val="single" w:sz="4" w:space="1" w:color="00000A"/>
          <w:right w:val="single" w:sz="4" w:space="4" w:color="00000A"/>
        </w:pBdr>
        <w:rPr/>
      </w:pPr>
      <w:r>
        <w:rPr/>
        <w:t>MONITORAGGIO ADOZIONE ED EFFICACIA DELLA MISURA</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nel corso degli eventi formativi e della Riunione Anticorruzione, da tenersi ogni anno prima del 31/01.</w:t>
      </w:r>
    </w:p>
    <w:p>
      <w:pPr>
        <w:pStyle w:val="Normal"/>
        <w:pBdr>
          <w:top w:val="single" w:sz="4" w:space="1" w:color="00000A"/>
          <w:left w:val="single" w:sz="4" w:space="4" w:color="00000A"/>
          <w:bottom w:val="single" w:sz="4" w:space="1" w:color="00000A"/>
          <w:right w:val="single" w:sz="4" w:space="4" w:color="00000A"/>
        </w:pBdr>
        <w:rPr/>
      </w:pPr>
      <w:r>
        <w:rPr/>
        <w:t xml:space="preserve">SOGGETTI COINVOLTI NEL MONITORAGGIO: operatori dell’Ufficio. </w:t>
      </w:r>
    </w:p>
    <w:p>
      <w:pPr>
        <w:pStyle w:val="Normal"/>
        <w:rPr/>
      </w:pPr>
      <w:r>
        <w:rPr/>
      </w:r>
      <w:r>
        <w:br w:type="page"/>
      </w:r>
    </w:p>
    <w:p>
      <w:pPr>
        <w:pStyle w:val="Normal"/>
        <w:pBdr>
          <w:top w:val="single" w:sz="4" w:space="1" w:color="00000A"/>
          <w:left w:val="single" w:sz="4" w:space="4" w:color="00000A"/>
          <w:bottom w:val="single" w:sz="4" w:space="1" w:color="00000A"/>
          <w:right w:val="single" w:sz="4" w:space="4" w:color="00000A"/>
        </w:pBdr>
        <w:rPr>
          <w:b/>
          <w:b/>
        </w:rPr>
      </w:pPr>
      <w:r>
        <w:rPr>
          <w:b/>
        </w:rPr>
        <w:t>M2 - Trasparenza</w:t>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 xml:space="preserve">Il Responsabile della Trasparenza effettua le pubblicazioni previste dal D.lgs 33/13 nella sezione Amministrazione Trasparente del sito </w:t>
      </w:r>
      <w:r>
        <w:rPr>
          <w:i/>
        </w:rPr>
        <w:t xml:space="preserve">web </w:t>
      </w:r>
      <w:r>
        <w:rPr/>
        <w:t>dell’Ordine. L’Ente, al fine di dare attuazione agli obblighi di pubblicazione ai sensi del d.lgs. n. 33/2013 e della normativa vigente, ha definito una specifica parte del PTPC in cui sono individuate le misure organizzative e descrittive volte ad assicurare la regolarità e la tempestività dei flussi delle informazioni da pubblicare, prevedendo anche uno specifico sistema delle responsabilità.</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 - normativa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2022</w:t>
      </w:r>
    </w:p>
    <w:p>
      <w:pPr>
        <w:pStyle w:val="Normal"/>
        <w:pBdr>
          <w:top w:val="single" w:sz="4" w:space="1" w:color="00000A"/>
          <w:left w:val="single" w:sz="4" w:space="4" w:color="00000A"/>
          <w:bottom w:val="single" w:sz="4" w:space="1" w:color="00000A"/>
          <w:right w:val="single" w:sz="4" w:space="4" w:color="00000A"/>
        </w:pBdr>
        <w:rPr/>
      </w:pPr>
      <w:r>
        <w:rPr/>
        <w:t>Adeguamento della sezione Amministrazione Trasparente alle novità di cui al D.lgs 97/16.</w:t>
      </w:r>
    </w:p>
    <w:p>
      <w:pPr>
        <w:pStyle w:val="Normal"/>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2023</w:t>
      </w:r>
    </w:p>
    <w:p>
      <w:pPr>
        <w:pStyle w:val="Normal"/>
        <w:pBdr>
          <w:top w:val="single" w:sz="4" w:space="1" w:color="00000A"/>
          <w:left w:val="single" w:sz="4" w:space="4" w:color="00000A"/>
          <w:bottom w:val="single" w:sz="4" w:space="1" w:color="00000A"/>
          <w:right w:val="single" w:sz="4" w:space="4" w:color="00000A"/>
        </w:pBdr>
        <w:rPr/>
      </w:pPr>
      <w:r>
        <w:rPr/>
        <w:t>Verifica se necessari ulteriori adeguamenti – eventuali integrazioni</w:t>
      </w:r>
    </w:p>
    <w:p>
      <w:pPr>
        <w:pStyle w:val="Normal"/>
        <w:pBdr>
          <w:top w:val="single" w:sz="4" w:space="1" w:color="00000A"/>
          <w:left w:val="single" w:sz="4" w:space="4" w:color="00000A"/>
          <w:bottom w:val="single" w:sz="4" w:space="1" w:color="00000A"/>
          <w:right w:val="single" w:sz="4" w:space="4" w:color="00000A"/>
        </w:pBdr>
        <w:rPr/>
      </w:pPr>
      <w:r>
        <w:rPr/>
        <w:t>SVILUPPO DELLA MISURA PER IL 2024</w:t>
      </w:r>
    </w:p>
    <w:p>
      <w:pPr>
        <w:pStyle w:val="Normal"/>
        <w:pBdr>
          <w:top w:val="single" w:sz="4" w:space="1" w:color="00000A"/>
          <w:left w:val="single" w:sz="4" w:space="4" w:color="00000A"/>
          <w:bottom w:val="single" w:sz="4" w:space="1" w:color="00000A"/>
          <w:right w:val="single" w:sz="4" w:space="4" w:color="00000A"/>
        </w:pBdr>
        <w:rPr/>
      </w:pPr>
      <w:r>
        <w:rPr/>
        <w:t>Verifica se necessari ulteriori adeguamenti – eventuali integrazioni</w:t>
      </w:r>
    </w:p>
    <w:p>
      <w:pPr>
        <w:pStyle w:val="Normal"/>
        <w:pBdr>
          <w:top w:val="single" w:sz="4" w:space="1" w:color="00000A"/>
          <w:left w:val="single" w:sz="4" w:space="4" w:color="00000A"/>
          <w:bottom w:val="single" w:sz="4" w:space="1" w:color="00000A"/>
          <w:right w:val="single" w:sz="4" w:space="4" w:color="00000A"/>
        </w:pBdr>
        <w:rPr/>
      </w:pPr>
      <w:r>
        <w:rPr/>
        <w:t>MONITORAGGIO ADOZIONE ED EFFICACIA DELLA MISURA</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w:t>
      </w:r>
    </w:p>
    <w:p>
      <w:pPr>
        <w:pStyle w:val="Normal"/>
        <w:pBdr>
          <w:top w:val="single" w:sz="4" w:space="1" w:color="00000A"/>
          <w:left w:val="single" w:sz="4" w:space="4" w:color="00000A"/>
          <w:bottom w:val="single" w:sz="4" w:space="1" w:color="00000A"/>
          <w:right w:val="single" w:sz="4" w:space="4" w:color="00000A"/>
        </w:pBdr>
        <w:rPr/>
      </w:pPr>
      <w:r>
        <w:rPr/>
        <w:t>SOGGETTI COINVOLTI tutti gli operatori</w:t>
      </w:r>
    </w:p>
    <w:p>
      <w:pPr>
        <w:pStyle w:val="Normal"/>
        <w:rPr/>
      </w:pPr>
      <w:r>
        <w:rPr/>
      </w:r>
    </w:p>
    <w:p>
      <w:pPr>
        <w:pStyle w:val="Normal"/>
        <w:rPr/>
      </w:pPr>
      <w:r>
        <w:rPr/>
      </w:r>
      <w:r>
        <w:br w:type="page"/>
      </w:r>
    </w:p>
    <w:p>
      <w:pPr>
        <w:pStyle w:val="Normal"/>
        <w:rPr/>
      </w:pPr>
      <w:r>
        <w:rPr/>
      </w:r>
    </w:p>
    <w:p>
      <w:pPr>
        <w:pStyle w:val="Normal"/>
        <w:pBdr>
          <w:top w:val="single" w:sz="4" w:space="1" w:color="00000A"/>
          <w:left w:val="single" w:sz="4" w:space="4" w:color="00000A"/>
          <w:bottom w:val="single" w:sz="4" w:space="1" w:color="00000A"/>
          <w:right w:val="single" w:sz="4" w:space="4" w:color="00000A"/>
        </w:pBdr>
        <w:rPr>
          <w:b/>
          <w:b/>
        </w:rPr>
      </w:pPr>
      <w:r>
        <w:rPr>
          <w:b/>
        </w:rPr>
        <w:t xml:space="preserve">M 3 - Incompatibilità e inconferibilità per posizioni dirigenziali - autocertificazioni </w:t>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Viene previsto un sistema di verifica della sussistenza di eventuali condizioni ostative in capo a coloro che rivestono incarichi di amministratore, come definiti dall’art. 1, co. 2, lett. l), del d.lgs. n. 39/2013 - e cioè “gli incarichi di presidente con deleghe gestionali dirette, amministratore delegato e assimilabili, di altro organo di indirizzo dell’attività dell’ente comunque denominato” - e a coloro cui potrebbero venir conferiti incarichi dirigenziali. Assicurarsi che - nel caso di nomina degli amministratori proposta o effettuata dalle p.a. controllanti - le stesse verifichino sulle inconferibilità.</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 - normativa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2022</w:t>
      </w:r>
    </w:p>
    <w:p>
      <w:pPr>
        <w:pStyle w:val="Normal"/>
        <w:pBdr>
          <w:top w:val="single" w:sz="4" w:space="1" w:color="00000A"/>
          <w:left w:val="single" w:sz="4" w:space="4" w:color="00000A"/>
          <w:bottom w:val="single" w:sz="4" w:space="1" w:color="00000A"/>
          <w:right w:val="single" w:sz="4" w:space="4" w:color="00000A"/>
        </w:pBdr>
        <w:rPr/>
      </w:pPr>
      <w:r>
        <w:rPr/>
        <w:t>Qualora sarà necessario, ferma restando l’assenza di personale dipendente allo stato attuale, verrà adottato apposito regolamento e richieste ai soggetti eventualmente interessati le autocertificazioni di carenza di cause ostative.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2023</w:t>
      </w:r>
    </w:p>
    <w:p>
      <w:pPr>
        <w:pStyle w:val="Normal"/>
        <w:pBdr>
          <w:top w:val="single" w:sz="4" w:space="1" w:color="00000A"/>
          <w:left w:val="single" w:sz="4" w:space="4" w:color="00000A"/>
          <w:bottom w:val="single" w:sz="4" w:space="1" w:color="00000A"/>
          <w:right w:val="single" w:sz="4" w:space="4" w:color="00000A"/>
        </w:pBdr>
        <w:rPr/>
      </w:pPr>
      <w:r>
        <w:rPr/>
        <w:t>Qualora sarà necessario: predisposizione, negli atti di attribuzione degli incarichi dirigenziali, le condizioni ostative al conferimento dell’incarico; verrà effettuata dal Responsabile della prevenzione della corruzione, eventualmente in collaborazione con altre strutture di controllo interne alla società, un’attività di vigilanza, sulla base di una programmazione che definisca le modalità e la frequenza delle verifiche anche su segnalazione di soggetti interni ed esterni.</w:t>
      </w:r>
    </w:p>
    <w:p>
      <w:pPr>
        <w:pStyle w:val="Normal"/>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2024</w:t>
      </w:r>
    </w:p>
    <w:p>
      <w:pPr>
        <w:pStyle w:val="Normal"/>
        <w:pBdr>
          <w:top w:val="single" w:sz="4" w:space="1" w:color="00000A"/>
          <w:left w:val="single" w:sz="4" w:space="4" w:color="00000A"/>
          <w:bottom w:val="single" w:sz="4" w:space="1" w:color="00000A"/>
          <w:right w:val="single" w:sz="4" w:space="4" w:color="00000A"/>
        </w:pBdr>
        <w:rPr/>
      </w:pPr>
      <w:r>
        <w:rPr/>
        <w:t>Verifiche - integrazioni</w:t>
      </w:r>
    </w:p>
    <w:p>
      <w:pPr>
        <w:pStyle w:val="Normal"/>
        <w:pBdr>
          <w:top w:val="single" w:sz="4" w:space="1" w:color="00000A"/>
          <w:left w:val="single" w:sz="4" w:space="4" w:color="00000A"/>
          <w:bottom w:val="single" w:sz="4" w:space="1" w:color="00000A"/>
          <w:right w:val="single" w:sz="4" w:space="4" w:color="00000A"/>
        </w:pBdr>
        <w:rPr/>
      </w:pPr>
      <w:r>
        <w:rPr/>
        <w:t>MONITORAGGIO ADOZIONE ED EFFICACIA DELLA MISURA</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w:t>
      </w:r>
    </w:p>
    <w:p>
      <w:pPr>
        <w:pStyle w:val="Normal"/>
        <w:rPr/>
      </w:pPr>
      <w:r>
        <w:rPr/>
      </w:r>
    </w:p>
    <w:p>
      <w:pPr>
        <w:pStyle w:val="Normal"/>
        <w:rPr/>
      </w:pPr>
      <w:r>
        <w:rPr/>
      </w:r>
      <w:r>
        <w:br w:type="page"/>
      </w:r>
    </w:p>
    <w:p>
      <w:pPr>
        <w:pStyle w:val="Normal"/>
        <w:rPr/>
      </w:pPr>
      <w:r>
        <w:rPr/>
      </w:r>
    </w:p>
    <w:p>
      <w:pPr>
        <w:pStyle w:val="Normal"/>
        <w:pBdr>
          <w:top w:val="single" w:sz="4" w:space="1" w:color="00000A"/>
          <w:left w:val="single" w:sz="4" w:space="4" w:color="00000A"/>
          <w:bottom w:val="single" w:sz="4" w:space="1" w:color="00000A"/>
          <w:right w:val="single" w:sz="4" w:space="4" w:color="00000A"/>
        </w:pBdr>
        <w:rPr>
          <w:b/>
          <w:b/>
          <w:bCs/>
        </w:rPr>
      </w:pPr>
      <w:r>
        <w:rPr>
          <w:b/>
          <w:bCs/>
        </w:rPr>
        <w:t>M 4 – Regolamento assunzioni</w:t>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In relazione ai principi di trasparenza, buon andamento e terzietà dell’attività amministrativa, verranno predisposti, qualora l’Ordine necessiti di personale, regolamenti sull’assunzione del personale, salva l’applicazione delle norme speciali contenute nel CCNL.</w:t>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 - normativa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2022</w:t>
      </w:r>
    </w:p>
    <w:p>
      <w:pPr>
        <w:pStyle w:val="Normal"/>
        <w:pBdr>
          <w:top w:val="single" w:sz="4" w:space="1" w:color="00000A"/>
          <w:left w:val="single" w:sz="4" w:space="4" w:color="00000A"/>
          <w:bottom w:val="single" w:sz="4" w:space="1" w:color="00000A"/>
          <w:right w:val="single" w:sz="4" w:space="4" w:color="00000A"/>
        </w:pBdr>
        <w:rPr/>
      </w:pPr>
      <w:r>
        <w:rPr/>
        <w:t>ad oggi non sono presenti dipendenti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2023</w:t>
      </w:r>
    </w:p>
    <w:p>
      <w:pPr>
        <w:pStyle w:val="Normal"/>
        <w:pBdr>
          <w:top w:val="single" w:sz="4" w:space="1" w:color="00000A"/>
          <w:left w:val="single" w:sz="4" w:space="4" w:color="00000A"/>
          <w:bottom w:val="single" w:sz="4" w:space="1" w:color="00000A"/>
          <w:right w:val="single" w:sz="4" w:space="4" w:color="00000A"/>
        </w:pBdr>
        <w:rPr/>
      </w:pPr>
      <w:r>
        <w:rPr/>
        <w:t>Redazione bozza di regolamento qualora necessaria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2024</w:t>
      </w:r>
    </w:p>
    <w:p>
      <w:pPr>
        <w:pStyle w:val="Normal"/>
        <w:pBdr>
          <w:top w:val="single" w:sz="4" w:space="1" w:color="00000A"/>
          <w:left w:val="single" w:sz="4" w:space="4" w:color="00000A"/>
          <w:bottom w:val="single" w:sz="4" w:space="1" w:color="00000A"/>
          <w:right w:val="single" w:sz="4" w:space="4" w:color="00000A"/>
        </w:pBdr>
        <w:rPr/>
      </w:pPr>
      <w:r>
        <w:rPr/>
        <w:t>Adozione del regolamento e adeguamento processi qualora necessari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MONITORAGGIO ADOZIONE ED EFFICACIA DELLA MISURA</w:t>
      </w:r>
    </w:p>
    <w:p>
      <w:pPr>
        <w:pStyle w:val="Normal"/>
        <w:pBdr>
          <w:top w:val="single" w:sz="4" w:space="1" w:color="00000A"/>
          <w:left w:val="single" w:sz="4" w:space="4" w:color="00000A"/>
          <w:bottom w:val="single" w:sz="4" w:space="1" w:color="00000A"/>
          <w:right w:val="single" w:sz="4" w:space="4" w:color="00000A"/>
        </w:pBdr>
        <w:rPr/>
      </w:pPr>
      <w:r>
        <w:rPr/>
        <w:t xml:space="preserve">Verifica dell’adempimento e della relativa attuazione da parte del Responsabile anticorruzione. </w:t>
      </w:r>
    </w:p>
    <w:p>
      <w:pPr>
        <w:pStyle w:val="Normal"/>
        <w:pBdr>
          <w:top w:val="single" w:sz="4" w:space="1" w:color="00000A"/>
          <w:left w:val="single" w:sz="4" w:space="4" w:color="00000A"/>
          <w:bottom w:val="single" w:sz="4" w:space="1" w:color="00000A"/>
          <w:right w:val="single" w:sz="4" w:space="4" w:color="00000A"/>
        </w:pBdr>
        <w:rPr/>
      </w:pPr>
      <w:r>
        <w:rPr/>
      </w:r>
    </w:p>
    <w:p>
      <w:pPr>
        <w:pStyle w:val="Normal"/>
        <w:rPr/>
      </w:pPr>
      <w:r>
        <w:rPr/>
      </w:r>
    </w:p>
    <w:p>
      <w:pPr>
        <w:pStyle w:val="Normal"/>
        <w:rPr/>
      </w:pPr>
      <w:r>
        <w:rPr/>
      </w:r>
      <w:r>
        <w:br w:type="page"/>
      </w:r>
    </w:p>
    <w:p>
      <w:pPr>
        <w:pStyle w:val="Normal"/>
        <w:rPr/>
      </w:pPr>
      <w:r>
        <w:rPr/>
      </w:r>
    </w:p>
    <w:p>
      <w:pPr>
        <w:pStyle w:val="Normal"/>
        <w:pBdr>
          <w:top w:val="single" w:sz="4" w:space="1" w:color="00000A"/>
          <w:left w:val="single" w:sz="4" w:space="4" w:color="00000A"/>
          <w:bottom w:val="single" w:sz="4" w:space="1" w:color="00000A"/>
          <w:right w:val="single" w:sz="4" w:space="4" w:color="00000A"/>
        </w:pBdr>
        <w:rPr>
          <w:b/>
          <w:b/>
          <w:bCs/>
        </w:rPr>
      </w:pPr>
      <w:r>
        <w:rPr>
          <w:b/>
          <w:bCs/>
        </w:rPr>
        <w:t>M 5 – Formazione</w:t>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L’Ordine, con il Piano Formazione 2022-2024 allegato al PTPC 2022-2024 ha definito i contenuti, i destinatari e le modalità di erogazione della formazione in materia di prevenzione della corruzione.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 - normativa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2022</w:t>
      </w:r>
    </w:p>
    <w:p>
      <w:pPr>
        <w:pStyle w:val="Normal"/>
        <w:pBdr>
          <w:top w:val="single" w:sz="4" w:space="1" w:color="00000A"/>
          <w:left w:val="single" w:sz="4" w:space="4" w:color="00000A"/>
          <w:bottom w:val="single" w:sz="4" w:space="1" w:color="00000A"/>
          <w:right w:val="single" w:sz="4" w:space="4" w:color="00000A"/>
        </w:pBdr>
        <w:rPr/>
      </w:pPr>
      <w:r>
        <w:rPr/>
        <w:t>Vedi Piano Formazione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2023</w:t>
      </w:r>
    </w:p>
    <w:p>
      <w:pPr>
        <w:pStyle w:val="Normal"/>
        <w:pBdr>
          <w:top w:val="single" w:sz="4" w:space="1" w:color="00000A"/>
          <w:left w:val="single" w:sz="4" w:space="4" w:color="00000A"/>
          <w:bottom w:val="single" w:sz="4" w:space="1" w:color="00000A"/>
          <w:right w:val="single" w:sz="4" w:space="4" w:color="00000A"/>
        </w:pBdr>
        <w:rPr/>
      </w:pPr>
      <w:r>
        <w:rPr/>
        <w:t>Vedi piano Formazione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2024</w:t>
      </w:r>
    </w:p>
    <w:p>
      <w:pPr>
        <w:pStyle w:val="Normal"/>
        <w:pBdr>
          <w:top w:val="single" w:sz="4" w:space="1" w:color="00000A"/>
          <w:left w:val="single" w:sz="4" w:space="4" w:color="00000A"/>
          <w:bottom w:val="single" w:sz="4" w:space="1" w:color="00000A"/>
          <w:right w:val="single" w:sz="4" w:space="4" w:color="00000A"/>
        </w:pBdr>
        <w:rPr/>
      </w:pPr>
      <w:r>
        <w:rPr/>
        <w:t>Vedi piano Formazione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MONITORAGGIO ADOZIONE ED EFFICACIA DELLA MISURA</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w:t>
      </w:r>
    </w:p>
    <w:p>
      <w:pPr>
        <w:pStyle w:val="Normal"/>
        <w:pBdr>
          <w:top w:val="single" w:sz="4" w:space="1" w:color="00000A"/>
          <w:left w:val="single" w:sz="4" w:space="4" w:color="00000A"/>
          <w:bottom w:val="single" w:sz="4" w:space="1" w:color="00000A"/>
          <w:right w:val="single" w:sz="4" w:space="4" w:color="00000A"/>
        </w:pBdr>
        <w:rPr/>
      </w:pPr>
      <w:r>
        <w:rPr/>
      </w:r>
    </w:p>
    <w:p>
      <w:pPr>
        <w:pStyle w:val="Normal"/>
        <w:rPr/>
      </w:pPr>
      <w:r>
        <w:rPr/>
      </w:r>
    </w:p>
    <w:p>
      <w:pPr>
        <w:pStyle w:val="Normal"/>
        <w:rPr/>
      </w:pPr>
      <w:r>
        <w:rPr/>
      </w:r>
      <w:r>
        <w:br w:type="page"/>
      </w:r>
    </w:p>
    <w:p>
      <w:pPr>
        <w:pStyle w:val="Normal"/>
        <w:rPr/>
      </w:pPr>
      <w:r>
        <w:rPr/>
      </w:r>
    </w:p>
    <w:p>
      <w:pPr>
        <w:pStyle w:val="Normal"/>
        <w:pBdr>
          <w:top w:val="single" w:sz="4" w:space="1" w:color="00000A"/>
          <w:left w:val="single" w:sz="4" w:space="4" w:color="00000A"/>
          <w:bottom w:val="single" w:sz="4" w:space="1" w:color="00000A"/>
          <w:right w:val="single" w:sz="4" w:space="4" w:color="00000A"/>
        </w:pBdr>
        <w:rPr>
          <w:b/>
          <w:b/>
        </w:rPr>
      </w:pPr>
      <w:r>
        <w:rPr>
          <w:b/>
        </w:rPr>
        <w:t>M 6 – Tutela del dipendente che segnala illeciti (c.d. whistle blower)</w:t>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Si prevede, nel caso di futura ed eventuale presenza di dipendenti, l’adozione di misure volte a garantire l’anonimizzazione delle segnalazioni da parte di dipendenti di situazioni di mala gestio dell’ente, secondo modelli di whistler blower.</w:t>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 - normativa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2022</w:t>
      </w:r>
    </w:p>
    <w:p>
      <w:pPr>
        <w:pStyle w:val="Normal"/>
        <w:pBdr>
          <w:top w:val="single" w:sz="4" w:space="1" w:color="00000A"/>
          <w:left w:val="single" w:sz="4" w:space="4" w:color="00000A"/>
          <w:bottom w:val="single" w:sz="4" w:space="1" w:color="00000A"/>
          <w:right w:val="single" w:sz="4" w:space="4" w:color="00000A"/>
        </w:pBdr>
        <w:rPr/>
      </w:pPr>
      <w:r>
        <w:rPr/>
        <w:t>Qualora necessario, redazione modello di segnalazione (vedi allegato al PTPC 2022-24)</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2023</w:t>
      </w:r>
    </w:p>
    <w:p>
      <w:pPr>
        <w:pStyle w:val="Normal"/>
        <w:pBdr>
          <w:top w:val="single" w:sz="4" w:space="1" w:color="00000A"/>
          <w:left w:val="single" w:sz="4" w:space="4" w:color="00000A"/>
          <w:bottom w:val="single" w:sz="4" w:space="1" w:color="00000A"/>
          <w:right w:val="single" w:sz="4" w:space="4" w:color="00000A"/>
        </w:pBdr>
        <w:rPr/>
      </w:pPr>
      <w:r>
        <w:rPr/>
        <w:t>Qualora necessario, valutazione implementazione strumenti di segnalazione (redazione regolamento)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2023</w:t>
      </w:r>
    </w:p>
    <w:p>
      <w:pPr>
        <w:pStyle w:val="Normal"/>
        <w:pBdr>
          <w:top w:val="single" w:sz="4" w:space="1" w:color="00000A"/>
          <w:left w:val="single" w:sz="4" w:space="4" w:color="00000A"/>
          <w:bottom w:val="single" w:sz="4" w:space="1" w:color="00000A"/>
          <w:right w:val="single" w:sz="4" w:space="4" w:color="00000A"/>
        </w:pBdr>
        <w:rPr/>
      </w:pPr>
      <w:r>
        <w:rPr/>
        <w:t>Qualora necessario, valutazione implementazione strumenti di segnalazione (modifica regolamento)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MONITORAGGIO ADOZIONE ED EFFICACIA DELLA MISURA</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w:t>
      </w:r>
    </w:p>
    <w:p>
      <w:pPr>
        <w:pStyle w:val="Normal"/>
        <w:pBdr>
          <w:top w:val="single" w:sz="4" w:space="1" w:color="00000A"/>
          <w:left w:val="single" w:sz="4" w:space="4" w:color="00000A"/>
          <w:bottom w:val="single" w:sz="4" w:space="1" w:color="00000A"/>
          <w:right w:val="single" w:sz="4" w:space="4" w:color="00000A"/>
        </w:pBdr>
        <w:rPr/>
      </w:pPr>
      <w:r>
        <w:rPr/>
      </w:r>
    </w:p>
    <w:p>
      <w:pPr>
        <w:pStyle w:val="Normal"/>
        <w:rPr/>
      </w:pPr>
      <w:r>
        <w:rPr/>
      </w:r>
    </w:p>
    <w:p>
      <w:pPr>
        <w:pStyle w:val="Normal"/>
        <w:rPr/>
      </w:pPr>
      <w:r>
        <w:rPr/>
      </w:r>
      <w:r>
        <w:br w:type="page"/>
      </w:r>
    </w:p>
    <w:p>
      <w:pPr>
        <w:pStyle w:val="Normal"/>
        <w:rPr/>
      </w:pPr>
      <w:r>
        <w:rPr/>
      </w:r>
    </w:p>
    <w:p>
      <w:pPr>
        <w:pStyle w:val="Normal"/>
        <w:pBdr>
          <w:top w:val="single" w:sz="4" w:space="1" w:color="00000A"/>
          <w:left w:val="single" w:sz="4" w:space="4" w:color="00000A"/>
          <w:bottom w:val="single" w:sz="4" w:space="1" w:color="00000A"/>
          <w:right w:val="single" w:sz="4" w:space="4" w:color="00000A"/>
        </w:pBdr>
        <w:rPr>
          <w:b/>
          <w:b/>
        </w:rPr>
      </w:pPr>
      <w:r>
        <w:rPr>
          <w:b/>
        </w:rPr>
        <w:t>M 7 – Rotazione del personale o misure alternative (segregazione delle funzioni)</w:t>
      </w:r>
    </w:p>
    <w:p>
      <w:pPr>
        <w:pStyle w:val="Normal"/>
        <w:pBdr>
          <w:top w:val="single" w:sz="4" w:space="1" w:color="00000A"/>
          <w:left w:val="single" w:sz="4" w:space="4" w:color="00000A"/>
          <w:bottom w:val="single" w:sz="4" w:space="1" w:color="00000A"/>
          <w:right w:val="single" w:sz="4" w:space="4" w:color="00000A"/>
        </w:pBdr>
        <w:rPr/>
      </w:pPr>
      <w:r>
        <w:rPr/>
        <w:t>DESCRIZIONE</w:t>
        <w:br/>
        <w:t>In ossequio ai principi di rotazione specificati nel PNA 2016, l’Ordine si adegua gradatamente all’obbligo, secondo quanto segue:</w:t>
      </w:r>
    </w:p>
    <w:p>
      <w:pPr>
        <w:pStyle w:val="Normal"/>
        <w:pBdr>
          <w:top w:val="single" w:sz="4" w:space="1" w:color="00000A"/>
          <w:left w:val="single" w:sz="4" w:space="4" w:color="00000A"/>
          <w:bottom w:val="single" w:sz="4" w:space="1" w:color="00000A"/>
          <w:right w:val="single" w:sz="4" w:space="4" w:color="00000A"/>
        </w:pBdr>
        <w:rPr/>
      </w:pPr>
      <w:r>
        <w:rPr/>
        <w:t>A) Rotazione nell’ambito dello stesso ufficio</w:t>
      </w:r>
    </w:p>
    <w:p>
      <w:pPr>
        <w:pStyle w:val="Normal"/>
        <w:pBdr>
          <w:top w:val="single" w:sz="4" w:space="1" w:color="00000A"/>
          <w:left w:val="single" w:sz="4" w:space="4" w:color="00000A"/>
          <w:bottom w:val="single" w:sz="4" w:space="1" w:color="00000A"/>
          <w:right w:val="single" w:sz="4" w:space="4" w:color="00000A"/>
        </w:pBdr>
        <w:rPr/>
      </w:pPr>
      <w:r>
        <w:rPr/>
        <w:t>Nel triennio, in via graduata e su singoli processi da individuarsi, in assenza di personale dipentente, i Consiglieri incaricati verranno fatti ruotare all’interno dell’Ufficio periodicamente (rotazione c.d. “funzionale”).</w:t>
      </w:r>
    </w:p>
    <w:p>
      <w:pPr>
        <w:pStyle w:val="Normal"/>
        <w:pBdr>
          <w:top w:val="single" w:sz="4" w:space="1" w:color="00000A"/>
          <w:left w:val="single" w:sz="4" w:space="4" w:color="00000A"/>
          <w:bottom w:val="single" w:sz="4" w:space="1" w:color="00000A"/>
          <w:right w:val="single" w:sz="4" w:space="4" w:color="00000A"/>
        </w:pBdr>
        <w:rPr/>
      </w:pPr>
      <w:r>
        <w:rPr/>
        <w:t xml:space="preserve">B) rotazione dei Consiglieri che facciano parte di commissioni interne all’ufficio o all’amministrazione, ad esclusione delle commissioni di gara per cui vedi M10. </w:t>
      </w:r>
    </w:p>
    <w:p>
      <w:pPr>
        <w:pStyle w:val="Normal"/>
        <w:pBdr>
          <w:top w:val="single" w:sz="4" w:space="1" w:color="00000A"/>
          <w:left w:val="single" w:sz="4" w:space="4" w:color="00000A"/>
          <w:bottom w:val="single" w:sz="4" w:space="1" w:color="00000A"/>
          <w:right w:val="single" w:sz="4" w:space="4" w:color="00000A"/>
        </w:pBdr>
        <w:rPr/>
      </w:pPr>
      <w:r>
        <w:rPr/>
        <w:t xml:space="preserve">C) “segregazione delle funzioni” </w:t>
      </w:r>
    </w:p>
    <w:p>
      <w:pPr>
        <w:pStyle w:val="Normal"/>
        <w:pBdr>
          <w:top w:val="single" w:sz="4" w:space="1" w:color="00000A"/>
          <w:left w:val="single" w:sz="4" w:space="4" w:color="00000A"/>
          <w:bottom w:val="single" w:sz="4" w:space="1" w:color="00000A"/>
          <w:right w:val="single" w:sz="4" w:space="4" w:color="00000A"/>
        </w:pBdr>
        <w:rPr/>
      </w:pPr>
      <w:r>
        <w:rPr/>
        <w:t xml:space="preserve">Nel corso del triennio verranno concordati principi di c.d. “segregazione delle funzioni” al fine di attribuire a soggetti diversi i compiti relativi a: a) svolgimento di istruttorie e accertamenti; b) adozione di decisioni; c) attuazione delle decisioni prese; d) effettuazione delle verifiche </w:t>
      </w:r>
    </w:p>
    <w:p>
      <w:pPr>
        <w:pStyle w:val="Normal"/>
        <w:pBdr>
          <w:top w:val="single" w:sz="4" w:space="1" w:color="00000A"/>
          <w:left w:val="single" w:sz="4" w:space="4" w:color="00000A"/>
          <w:bottom w:val="single" w:sz="4" w:space="1" w:color="00000A"/>
          <w:right w:val="single" w:sz="4" w:space="4" w:color="00000A"/>
        </w:pBdr>
        <w:rPr/>
      </w:pPr>
      <w:r>
        <w:rPr/>
        <w:t>D) Rotazione Straordinaria</w:t>
      </w:r>
    </w:p>
    <w:p>
      <w:pPr>
        <w:pStyle w:val="Normal"/>
        <w:pBdr>
          <w:top w:val="single" w:sz="4" w:space="1" w:color="00000A"/>
          <w:left w:val="single" w:sz="4" w:space="4" w:color="00000A"/>
          <w:bottom w:val="single" w:sz="4" w:space="1" w:color="00000A"/>
          <w:right w:val="single" w:sz="4" w:space="4" w:color="00000A"/>
        </w:pBdr>
        <w:rPr/>
      </w:pPr>
      <w:r>
        <w:rPr/>
        <w:t>Il presente piano prevede in ogni caso la rotazione straordinaria nel caso di avvio di procedimenti penali o disciplinari per condotte di natura corruttiva in capo a determinati soggetti.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 - normativa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2022</w:t>
      </w:r>
    </w:p>
    <w:p>
      <w:pPr>
        <w:pStyle w:val="Normal"/>
        <w:pBdr>
          <w:top w:val="single" w:sz="4" w:space="1" w:color="00000A"/>
          <w:left w:val="single" w:sz="4" w:space="4" w:color="00000A"/>
          <w:bottom w:val="single" w:sz="4" w:space="1" w:color="00000A"/>
          <w:right w:val="single" w:sz="4" w:space="4" w:color="00000A"/>
        </w:pBdr>
        <w:rPr/>
      </w:pPr>
      <w:r>
        <w:rPr/>
        <w:t>Adeguamento alla rotazione D) e valutazione regolamenti per le altre tipologie di rotazione.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2023</w:t>
      </w:r>
    </w:p>
    <w:p>
      <w:pPr>
        <w:pStyle w:val="Normal"/>
        <w:pBdr>
          <w:top w:val="single" w:sz="4" w:space="1" w:color="00000A"/>
          <w:left w:val="single" w:sz="4" w:space="4" w:color="00000A"/>
          <w:bottom w:val="single" w:sz="4" w:space="1" w:color="00000A"/>
          <w:right w:val="single" w:sz="4" w:space="4" w:color="00000A"/>
        </w:pBdr>
        <w:rPr/>
      </w:pPr>
      <w:r>
        <w:rPr/>
        <w:t>Allargare la misura a tutti i procedimenti a rischio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2024</w:t>
      </w:r>
    </w:p>
    <w:p>
      <w:pPr>
        <w:pStyle w:val="Normal"/>
        <w:pBdr>
          <w:top w:val="single" w:sz="4" w:space="1" w:color="00000A"/>
          <w:left w:val="single" w:sz="4" w:space="4" w:color="00000A"/>
          <w:bottom w:val="single" w:sz="4" w:space="1" w:color="00000A"/>
          <w:right w:val="single" w:sz="4" w:space="4" w:color="00000A"/>
        </w:pBdr>
        <w:rPr>
          <w:highlight w:val="yellow"/>
        </w:rPr>
      </w:pPr>
      <w:r>
        <w:rPr/>
        <w:t>Verifiche - integrazioni</w:t>
      </w:r>
    </w:p>
    <w:p>
      <w:pPr>
        <w:pStyle w:val="Normal"/>
        <w:pBdr>
          <w:top w:val="single" w:sz="4" w:space="1" w:color="00000A"/>
          <w:left w:val="single" w:sz="4" w:space="4" w:color="00000A"/>
          <w:bottom w:val="single" w:sz="4" w:space="1" w:color="00000A"/>
          <w:right w:val="single" w:sz="4" w:space="4" w:color="00000A"/>
        </w:pBdr>
        <w:rPr>
          <w:highlight w:val="yellow"/>
        </w:rPr>
      </w:pPr>
      <w:r>
        <w:rPr>
          <w:highlight w:val="yellow"/>
        </w:rPr>
      </w:r>
    </w:p>
    <w:p>
      <w:pPr>
        <w:pStyle w:val="Normal"/>
        <w:pBdr>
          <w:top w:val="single" w:sz="4" w:space="1" w:color="00000A"/>
          <w:left w:val="single" w:sz="4" w:space="4" w:color="00000A"/>
          <w:bottom w:val="single" w:sz="4" w:space="1" w:color="00000A"/>
          <w:right w:val="single" w:sz="4" w:space="4" w:color="00000A"/>
        </w:pBdr>
        <w:rPr/>
      </w:pPr>
      <w:r>
        <w:rPr/>
        <w:t>MONITORAGGIO ADOZIONE ED EFFICACIA DELLA MISURA</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w:t>
      </w:r>
    </w:p>
    <w:p>
      <w:pPr>
        <w:pStyle w:val="Normal"/>
        <w:pBdr>
          <w:top w:val="single" w:sz="4" w:space="1" w:color="00000A"/>
          <w:left w:val="single" w:sz="4" w:space="4" w:color="00000A"/>
          <w:bottom w:val="single" w:sz="4" w:space="1" w:color="00000A"/>
          <w:right w:val="single" w:sz="4" w:space="4" w:color="00000A"/>
        </w:pBdr>
        <w:rPr/>
      </w:pPr>
      <w:r>
        <w:rPr/>
      </w:r>
    </w:p>
    <w:p>
      <w:pPr>
        <w:pStyle w:val="Normal"/>
        <w:rPr/>
      </w:pPr>
      <w:r>
        <w:rPr/>
      </w:r>
    </w:p>
    <w:p>
      <w:pPr>
        <w:pStyle w:val="Normal"/>
        <w:rPr/>
      </w:pPr>
      <w:r>
        <w:rPr/>
      </w:r>
      <w:r>
        <w:br w:type="page"/>
      </w:r>
    </w:p>
    <w:p>
      <w:pPr>
        <w:pStyle w:val="Normal"/>
        <w:pBdr>
          <w:top w:val="single" w:sz="4" w:space="1" w:color="00000A"/>
          <w:left w:val="single" w:sz="4" w:space="4" w:color="00000A"/>
          <w:bottom w:val="single" w:sz="4" w:space="1" w:color="00000A"/>
          <w:right w:val="single" w:sz="4" w:space="4" w:color="00000A"/>
        </w:pBdr>
        <w:rPr>
          <w:b/>
          <w:b/>
        </w:rPr>
      </w:pPr>
      <w:r>
        <w:rPr>
          <w:b/>
        </w:rPr>
        <w:t>M 8 – Modello di richiesta di fornitura, beni, servizi e opere</w:t>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La misura consiste nell’adozione, qualora sia necessario acquisire forniture di beni, servizi e opere, di un modello che riassume in un unico documento tutte le fasi dei procedimenti di approvvigionamento beni e servizi, sulla base del Codice Appalti e dei regolamenti interni. In tale modo è possibile verificare, velocemente ed anche a campione, se vi è stato il rispetto della legge e dei regolamenti in materia di appalti e contratti, nei principi dell’evidenza pubblica.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2022</w:t>
      </w:r>
    </w:p>
    <w:p>
      <w:pPr>
        <w:pStyle w:val="Normal"/>
        <w:pBdr>
          <w:top w:val="single" w:sz="4" w:space="1" w:color="00000A"/>
          <w:left w:val="single" w:sz="4" w:space="4" w:color="00000A"/>
          <w:bottom w:val="single" w:sz="4" w:space="1" w:color="00000A"/>
          <w:right w:val="single" w:sz="4" w:space="4" w:color="00000A"/>
        </w:pBdr>
        <w:rPr/>
      </w:pPr>
      <w:r>
        <w:rPr/>
        <w:t>Redazione modello, qualora necessario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2023</w:t>
      </w:r>
    </w:p>
    <w:p>
      <w:pPr>
        <w:pStyle w:val="Normal"/>
        <w:pBdr>
          <w:top w:val="single" w:sz="4" w:space="1" w:color="00000A"/>
          <w:left w:val="single" w:sz="4" w:space="4" w:color="00000A"/>
          <w:bottom w:val="single" w:sz="4" w:space="1" w:color="00000A"/>
          <w:right w:val="single" w:sz="4" w:space="4" w:color="00000A"/>
        </w:pBdr>
        <w:rPr/>
      </w:pPr>
      <w:r>
        <w:rPr/>
        <w:t>Adozione modello, qualora necessario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2024</w:t>
      </w:r>
    </w:p>
    <w:p>
      <w:pPr>
        <w:pStyle w:val="Normal"/>
        <w:pBdr>
          <w:top w:val="single" w:sz="4" w:space="1" w:color="00000A"/>
          <w:left w:val="single" w:sz="4" w:space="4" w:color="00000A"/>
          <w:bottom w:val="single" w:sz="4" w:space="1" w:color="00000A"/>
          <w:right w:val="single" w:sz="4" w:space="4" w:color="00000A"/>
        </w:pBdr>
        <w:rPr/>
      </w:pPr>
      <w:r>
        <w:rPr/>
        <w:t>Ottimizzazione modello</w:t>
      </w:r>
    </w:p>
    <w:p>
      <w:pPr>
        <w:pStyle w:val="Normal"/>
        <w:pBdr>
          <w:top w:val="single" w:sz="4" w:space="1" w:color="00000A"/>
          <w:left w:val="single" w:sz="4" w:space="4" w:color="00000A"/>
          <w:bottom w:val="single" w:sz="4" w:space="1" w:color="00000A"/>
          <w:right w:val="single" w:sz="4" w:space="4" w:color="00000A"/>
        </w:pBdr>
        <w:rPr/>
      </w:pPr>
      <w:r>
        <w:rPr/>
        <w:t>MONITORAGGIO</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 nel corso della quale verrà verificata la completezza del modello.</w:t>
      </w:r>
    </w:p>
    <w:p>
      <w:pPr>
        <w:pStyle w:val="Normal"/>
        <w:rPr/>
      </w:pPr>
      <w:r>
        <w:rPr/>
      </w:r>
    </w:p>
    <w:p>
      <w:pPr>
        <w:pStyle w:val="Normal"/>
        <w:rPr/>
      </w:pPr>
      <w:r>
        <w:rPr/>
      </w:r>
      <w:r>
        <w:br w:type="page"/>
      </w:r>
    </w:p>
    <w:p>
      <w:pPr>
        <w:pStyle w:val="Normal"/>
        <w:pBdr>
          <w:top w:val="single" w:sz="4" w:space="1" w:color="00000A"/>
          <w:left w:val="single" w:sz="4" w:space="4" w:color="00000A"/>
          <w:bottom w:val="single" w:sz="4" w:space="1" w:color="00000A"/>
          <w:right w:val="single" w:sz="4" w:space="4" w:color="00000A"/>
        </w:pBdr>
        <w:rPr>
          <w:b/>
          <w:b/>
        </w:rPr>
      </w:pPr>
      <w:r>
        <w:rPr>
          <w:b/>
        </w:rPr>
        <w:t>M9 – svolgimento incarichi “extra lavorativi”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Il personale dell’Ordine è sottoposto a norme peculiari in ambito giuslavoristico (CCNL) che prevedono particolari forme di esclusività dell’attività lavorativa. In ottica anti-corruttiva, si prevede l’implementazione dei principi di esclusività, adeguando il Codice di Comportamento e i processi di autorizzazione (in analogia con il decreto legislativo n. 165/2001) – Misura attualmente non applicabile, stante l’assenza di dipendenti.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2022</w:t>
      </w:r>
    </w:p>
    <w:p>
      <w:pPr>
        <w:pStyle w:val="Normal"/>
        <w:pBdr>
          <w:top w:val="single" w:sz="4" w:space="1" w:color="00000A"/>
          <w:left w:val="single" w:sz="4" w:space="4" w:color="00000A"/>
          <w:bottom w:val="single" w:sz="4" w:space="1" w:color="00000A"/>
          <w:right w:val="single" w:sz="4" w:space="4" w:color="00000A"/>
        </w:pBdr>
        <w:rPr/>
      </w:pPr>
      <w:r>
        <w:rPr/>
        <w:t>Qualora vi siano in futuro dei dipendenti, la misura sarà adottata con specifica norma del Codice di Comportamento. Utilizzo modelli di comunicazione; richiesta parere legale su incompatibilità lavoro / impresa agricola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2023</w:t>
      </w:r>
    </w:p>
    <w:p>
      <w:pPr>
        <w:pStyle w:val="Normal"/>
        <w:pBdr>
          <w:top w:val="single" w:sz="4" w:space="1" w:color="00000A"/>
          <w:left w:val="single" w:sz="4" w:space="4" w:color="00000A"/>
          <w:bottom w:val="single" w:sz="4" w:space="1" w:color="00000A"/>
          <w:right w:val="single" w:sz="4" w:space="4" w:color="00000A"/>
        </w:pBdr>
        <w:rPr/>
      </w:pPr>
      <w:r>
        <w:rPr/>
        <w:t>Previsione di procedure elettroniche di comunicazione e verifica a campione sul personale, qualora vi siano dipendenti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2024</w:t>
      </w:r>
    </w:p>
    <w:p>
      <w:pPr>
        <w:pStyle w:val="Normal"/>
        <w:pBdr>
          <w:top w:val="single" w:sz="4" w:space="1" w:color="00000A"/>
          <w:left w:val="single" w:sz="4" w:space="4" w:color="00000A"/>
          <w:bottom w:val="single" w:sz="4" w:space="1" w:color="00000A"/>
          <w:right w:val="single" w:sz="4" w:space="4" w:color="00000A"/>
        </w:pBdr>
        <w:rPr/>
      </w:pPr>
      <w:r>
        <w:rPr/>
        <w:t>verifica a campione sul personale, qualora vi siano dipendenti</w:t>
      </w:r>
    </w:p>
    <w:p>
      <w:pPr>
        <w:pStyle w:val="Normal"/>
        <w:rPr/>
      </w:pPr>
      <w:r>
        <w:rPr/>
      </w:r>
    </w:p>
    <w:p>
      <w:pPr>
        <w:pStyle w:val="Normal"/>
        <w:pBdr>
          <w:top w:val="single" w:sz="4" w:space="1" w:color="00000A"/>
          <w:left w:val="single" w:sz="4" w:space="4" w:color="00000A"/>
          <w:bottom w:val="single" w:sz="4" w:space="1" w:color="00000A"/>
          <w:right w:val="single" w:sz="4" w:space="4" w:color="00000A"/>
        </w:pBdr>
        <w:rPr/>
      </w:pPr>
      <w:r>
        <w:rPr/>
        <w:t>MONITORAGGIO</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 nel corso della quale verrà verificata la completezza dei modelli.</w:t>
      </w:r>
    </w:p>
    <w:p>
      <w:pPr>
        <w:pStyle w:val="Normal"/>
        <w:rPr/>
      </w:pPr>
      <w:r>
        <w:rPr/>
      </w:r>
      <w:r>
        <w:br w:type="page"/>
      </w:r>
    </w:p>
    <w:p>
      <w:pPr>
        <w:pStyle w:val="Normal"/>
        <w:rPr/>
      </w:pPr>
      <w:r>
        <w:rPr/>
      </w:r>
    </w:p>
    <w:p>
      <w:pPr>
        <w:pStyle w:val="Normal"/>
        <w:pBdr>
          <w:top w:val="single" w:sz="4" w:space="1" w:color="00000A"/>
          <w:left w:val="single" w:sz="4" w:space="4" w:color="00000A"/>
          <w:bottom w:val="single" w:sz="4" w:space="1" w:color="00000A"/>
          <w:right w:val="single" w:sz="4" w:space="4" w:color="00000A"/>
        </w:pBdr>
        <w:rPr>
          <w:b/>
          <w:b/>
        </w:rPr>
      </w:pPr>
      <w:r>
        <w:rPr>
          <w:b/>
        </w:rPr>
        <w:t>M10 – rotazione commissioni di gara</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Rotazione dei componenti chiamati a far parte delle commissioni di gara in modo da evitare che per la stessa tipologia di gara sia nominato più volte consecutive lo stesso membro di commissione. (Salvo applicazione linee guida ANAC su registro dei commissari)</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TIPO DI MISURA</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Organizzativa</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STATO DI ADOZIONE 2022</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Stanti le difficoltà organizzative e la carenza di personale tecnico, la misura verrà attuata gradatamente, in caso si prevedano in futuro gare e cercando la collaborazione e disponibilità di figure tecniche di altre PP.AA (es. Regione, altri Consorzi ecc.)</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SVILUPPO DELLA MISURA PER IL 2023</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Verifiche delle misure - integrazioni</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SVILUPPO DELLA MISURA PER IL 2024</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MONITORAGGIO</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Verifica dell’adempimento e della relativa attuazione da parte del Responsabile anticorruzione. Confronto con responsabili nel corso della Riunione Anticorruzione, da tenersi ogni anno prima del 31/01, nel corso della quale verrà verificata la completezza di una o più “schede appalto”.</w:t>
      </w:r>
    </w:p>
    <w:p>
      <w:pPr>
        <w:pStyle w:val="Normal"/>
        <w:rPr>
          <w:color w:val="231F20"/>
        </w:rPr>
      </w:pPr>
      <w:r>
        <w:rPr>
          <w:color w:val="231F20"/>
        </w:rPr>
      </w:r>
    </w:p>
    <w:p>
      <w:pPr>
        <w:pStyle w:val="Normal"/>
        <w:rPr>
          <w:color w:val="231F20"/>
        </w:rPr>
      </w:pPr>
      <w:r>
        <w:rPr>
          <w:color w:val="231F20"/>
        </w:rPr>
      </w:r>
    </w:p>
    <w:p>
      <w:pPr>
        <w:pStyle w:val="Normal"/>
        <w:rPr>
          <w:color w:val="231F20"/>
        </w:rPr>
      </w:pPr>
      <w:r>
        <w:rPr>
          <w:color w:val="231F20"/>
        </w:rPr>
      </w:r>
      <w:r>
        <w:br w:type="page"/>
      </w:r>
    </w:p>
    <w:p>
      <w:pPr>
        <w:pStyle w:val="Normal"/>
        <w:rPr>
          <w:color w:val="231F20"/>
        </w:rPr>
      </w:pPr>
      <w:r>
        <w:rPr>
          <w:color w:val="231F20"/>
        </w:rPr>
      </w:r>
    </w:p>
    <w:p>
      <w:pPr>
        <w:pStyle w:val="Normal"/>
        <w:pBdr>
          <w:top w:val="single" w:sz="4" w:space="1" w:color="00000A"/>
          <w:left w:val="single" w:sz="4" w:space="4" w:color="00000A"/>
          <w:bottom w:val="single" w:sz="4" w:space="1" w:color="00000A"/>
          <w:right w:val="single" w:sz="4" w:space="4" w:color="00000A"/>
        </w:pBdr>
        <w:rPr>
          <w:b/>
          <w:b/>
        </w:rPr>
      </w:pPr>
      <w:r>
        <w:rPr>
          <w:b/>
          <w:color w:val="231F20"/>
        </w:rPr>
        <w:t xml:space="preserve">M11 </w:t>
      </w:r>
      <w:r>
        <w:rPr>
          <w:b/>
        </w:rPr>
        <w:t xml:space="preserve">- Adozione di misure organizzative relative ai regolamenti ANAC su appalti </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 xml:space="preserve">Adozione di regolamenti di attuazione e specificazione della prescrizione di cui al D.lgs 50/16, relativamente agli acquisti beni e servizi e realizzazione opere. In particolare, si prevede l’adeguamento del regolamento affidamenti sottosoglia, regolamento acquisti economali, regolamento per l’istituzione del c.d “registro fornitori”, contenente plurimi soggetti per ciascuna categoria di prestazioni. Si presterà particolare attenzione all’adeguamento dei processi su criteri di rotazione (per assicurare che non venga scelto per più volte consecutive lo stesso soggetto) </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2022</w:t>
      </w:r>
    </w:p>
    <w:p>
      <w:pPr>
        <w:pStyle w:val="Normal"/>
        <w:pBdr>
          <w:top w:val="single" w:sz="4" w:space="1" w:color="00000A"/>
          <w:left w:val="single" w:sz="4" w:space="4" w:color="00000A"/>
          <w:bottom w:val="single" w:sz="4" w:space="1" w:color="00000A"/>
          <w:right w:val="single" w:sz="4" w:space="4" w:color="00000A"/>
        </w:pBdr>
        <w:rPr/>
      </w:pPr>
      <w:r>
        <w:rPr/>
        <w:t>Redazione/adozione bozze di regolamenti anche sulle basi delle indicazioni / linee guida di ANAC</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2023</w:t>
      </w:r>
    </w:p>
    <w:p>
      <w:pPr>
        <w:pStyle w:val="Normal"/>
        <w:pBdr>
          <w:top w:val="single" w:sz="4" w:space="1" w:color="00000A"/>
          <w:left w:val="single" w:sz="4" w:space="4" w:color="00000A"/>
          <w:bottom w:val="single" w:sz="4" w:space="1" w:color="00000A"/>
          <w:right w:val="single" w:sz="4" w:space="4" w:color="00000A"/>
        </w:pBdr>
        <w:rPr/>
      </w:pPr>
      <w:r>
        <w:rPr/>
        <w:t>Adozione della misura; istituzione “registro fornitori” contenente plurimi soggetti per ciascuna categoria di prestazioni. Il Regolamento prevede modalità di scelta del contraente su criteri di rotazione (per assicurare che non venga scelto per più volte consecutive lo stesso soggetto)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2024</w:t>
      </w:r>
    </w:p>
    <w:p>
      <w:pPr>
        <w:pStyle w:val="Normal"/>
        <w:pBdr>
          <w:top w:val="single" w:sz="4" w:space="1" w:color="00000A"/>
          <w:left w:val="single" w:sz="4" w:space="4" w:color="00000A"/>
          <w:bottom w:val="single" w:sz="4" w:space="1" w:color="00000A"/>
          <w:right w:val="single" w:sz="4" w:space="4" w:color="00000A"/>
        </w:pBdr>
        <w:rPr/>
      </w:pPr>
      <w:r>
        <w:rPr/>
        <w:t>Rotazione – verifiche - integrazioni</w:t>
      </w:r>
    </w:p>
    <w:p>
      <w:pPr>
        <w:pStyle w:val="Normal"/>
        <w:pBdr>
          <w:top w:val="single" w:sz="4" w:space="1" w:color="00000A"/>
          <w:left w:val="single" w:sz="4" w:space="4" w:color="00000A"/>
          <w:bottom w:val="single" w:sz="4" w:space="1" w:color="00000A"/>
          <w:right w:val="single" w:sz="4" w:space="4" w:color="00000A"/>
        </w:pBdr>
        <w:rPr/>
      </w:pPr>
      <w:r>
        <w:rPr/>
        <w:t>MONITORAGGIO</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 nel corso della quale verrà verificata la completezza di una o più schede.</w:t>
      </w:r>
    </w:p>
    <w:p>
      <w:pPr>
        <w:pStyle w:val="Normal"/>
        <w:rPr/>
      </w:pPr>
      <w:r>
        <w:rPr/>
      </w:r>
    </w:p>
    <w:p>
      <w:pPr>
        <w:pStyle w:val="Normal"/>
        <w:rPr/>
      </w:pPr>
      <w:r>
        <w:rPr/>
      </w:r>
    </w:p>
    <w:p>
      <w:pPr>
        <w:pStyle w:val="Normal"/>
        <w:tabs>
          <w:tab w:val="clear" w:pos="708"/>
          <w:tab w:val="left" w:pos="3315" w:leader="none"/>
        </w:tabs>
        <w:rPr/>
      </w:pPr>
      <w:r>
        <w:rPr/>
        <w:tab/>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pBdr>
          <w:top w:val="single" w:sz="4" w:space="1" w:color="00000A"/>
          <w:left w:val="single" w:sz="4" w:space="4" w:color="00000A"/>
          <w:bottom w:val="single" w:sz="4" w:space="1" w:color="00000A"/>
          <w:right w:val="single" w:sz="4" w:space="4" w:color="00000A"/>
        </w:pBdr>
        <w:rPr>
          <w:b/>
          <w:b/>
        </w:rPr>
      </w:pPr>
      <w:r>
        <w:rPr>
          <w:b/>
          <w:color w:val="231F20"/>
        </w:rPr>
        <w:t xml:space="preserve">M12 </w:t>
      </w:r>
      <w:r>
        <w:rPr>
          <w:b/>
        </w:rPr>
        <w:t>– Controllo elettronico presenze per tutti i dipendenti e verifiche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Il personale dell’Ordine, qualora presente in futuro, sarà dotato di badge per la rilevazione delle presenze e degli orari di lavoro. Al fine di prevenire abusi e violazioni delle regole di presenza del lavoratore sul luogo di lavoro, viene prevista una misura di controllo a campione e casuale delle presenze effettive comparate alle presenze rilevate dal sistema di badge.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2022</w:t>
      </w:r>
    </w:p>
    <w:p>
      <w:pPr>
        <w:pStyle w:val="Normal"/>
        <w:pBdr>
          <w:top w:val="single" w:sz="4" w:space="1" w:color="00000A"/>
          <w:left w:val="single" w:sz="4" w:space="4" w:color="00000A"/>
          <w:bottom w:val="single" w:sz="4" w:space="1" w:color="00000A"/>
          <w:right w:val="single" w:sz="4" w:space="4" w:color="00000A"/>
        </w:pBdr>
        <w:rPr/>
      </w:pPr>
      <w:r>
        <w:rPr/>
        <w:t>Qualora vi sarà in futuro personale dipendente, si prevede la formazione del personale in merito alle procedure di timbratura e sensibilizzazione sulle possibili conseguenze in caso di violazioni. Illustrazione misura del controllo a campione</w:t>
      </w:r>
    </w:p>
    <w:p>
      <w:pPr>
        <w:pStyle w:val="Normal"/>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2023</w:t>
      </w:r>
    </w:p>
    <w:p>
      <w:pPr>
        <w:pStyle w:val="Normal"/>
        <w:pBdr>
          <w:top w:val="single" w:sz="4" w:space="1" w:color="00000A"/>
          <w:left w:val="single" w:sz="4" w:space="4" w:color="00000A"/>
          <w:bottom w:val="single" w:sz="4" w:space="1" w:color="00000A"/>
          <w:right w:val="single" w:sz="4" w:space="4" w:color="00000A"/>
        </w:pBdr>
        <w:rPr/>
      </w:pPr>
      <w:r>
        <w:rPr/>
        <w:t>Qualora vi sarà in futuro personale dipendente, si prevede l’adozione della misura e monitoraggio; previsione timbratura geolocalizzata (o sui mezzi o su smartphone)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2024</w:t>
      </w:r>
    </w:p>
    <w:p>
      <w:pPr>
        <w:pStyle w:val="Normal"/>
        <w:pBdr>
          <w:top w:val="single" w:sz="4" w:space="1" w:color="00000A"/>
          <w:left w:val="single" w:sz="4" w:space="4" w:color="00000A"/>
          <w:bottom w:val="single" w:sz="4" w:space="1" w:color="00000A"/>
          <w:right w:val="single" w:sz="4" w:space="4" w:color="00000A"/>
        </w:pBdr>
        <w:rPr/>
      </w:pPr>
      <w:r>
        <w:rPr/>
        <w:t>Adozione della misura e monitoraggio</w:t>
      </w:r>
    </w:p>
    <w:p>
      <w:pPr>
        <w:pStyle w:val="Normal"/>
        <w:rPr/>
      </w:pPr>
      <w:r>
        <w:rPr/>
      </w:r>
    </w:p>
    <w:p>
      <w:pPr>
        <w:pStyle w:val="Normal"/>
        <w:pBdr>
          <w:top w:val="single" w:sz="4" w:space="1" w:color="00000A"/>
          <w:left w:val="single" w:sz="4" w:space="4" w:color="00000A"/>
          <w:bottom w:val="single" w:sz="4" w:space="1" w:color="00000A"/>
          <w:right w:val="single" w:sz="4" w:space="4" w:color="00000A"/>
        </w:pBdr>
        <w:rPr/>
      </w:pPr>
      <w:r>
        <w:rPr/>
        <w:t>MONITORAGGIO</w:t>
      </w:r>
    </w:p>
    <w:p>
      <w:pPr>
        <w:pStyle w:val="Normal"/>
        <w:pBdr>
          <w:top w:val="single" w:sz="4" w:space="1" w:color="00000A"/>
          <w:left w:val="single" w:sz="4" w:space="4" w:color="00000A"/>
          <w:bottom w:val="single" w:sz="4" w:space="1" w:color="00000A"/>
          <w:right w:val="single" w:sz="4" w:space="4" w:color="00000A"/>
        </w:pBdr>
        <w:rPr/>
      </w:pPr>
      <w:r>
        <w:rPr/>
        <w:t xml:space="preserve">Verifica dell’adempimento e della relativa attuazione da parte del Responsabile anticorruzione. </w:t>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pBdr>
          <w:top w:val="single" w:sz="4" w:space="1" w:color="00000A"/>
          <w:left w:val="single" w:sz="4" w:space="4" w:color="00000A"/>
          <w:bottom w:val="single" w:sz="4" w:space="1" w:color="00000A"/>
          <w:right w:val="single" w:sz="4" w:space="4" w:color="00000A"/>
        </w:pBdr>
        <w:rPr>
          <w:b/>
          <w:b/>
        </w:rPr>
      </w:pPr>
      <w:r>
        <w:rPr>
          <w:b/>
          <w:color w:val="231F20"/>
        </w:rPr>
        <w:t xml:space="preserve">M13 </w:t>
      </w:r>
      <w:r>
        <w:rPr>
          <w:b/>
        </w:rPr>
        <w:t>– Regolamento per conferimento incarichi e consulenze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Adozione di un regolamento destinato a disciplinare il conferimento di incarichi e consulenze a soggetti esterni, sulla base delle indicazioni di cui all’art. 7 comma 6 del D.lgs 165/01 e secondo principi di evidenza pubblica.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2022</w:t>
      </w:r>
    </w:p>
    <w:p>
      <w:pPr>
        <w:pStyle w:val="Normal"/>
        <w:pBdr>
          <w:top w:val="single" w:sz="4" w:space="1" w:color="00000A"/>
          <w:left w:val="single" w:sz="4" w:space="4" w:color="00000A"/>
          <w:bottom w:val="single" w:sz="4" w:space="1" w:color="00000A"/>
          <w:right w:val="single" w:sz="4" w:space="4" w:color="00000A"/>
        </w:pBdr>
        <w:rPr/>
      </w:pPr>
      <w:r>
        <w:rPr/>
        <w:t>Redazione bozza di regolamento.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2023</w:t>
      </w:r>
    </w:p>
    <w:p>
      <w:pPr>
        <w:pStyle w:val="Normal"/>
        <w:pBdr>
          <w:top w:val="single" w:sz="4" w:space="1" w:color="00000A"/>
          <w:left w:val="single" w:sz="4" w:space="4" w:color="00000A"/>
          <w:bottom w:val="single" w:sz="4" w:space="1" w:color="00000A"/>
          <w:right w:val="single" w:sz="4" w:space="4" w:color="00000A"/>
        </w:pBdr>
        <w:rPr/>
      </w:pPr>
      <w:r>
        <w:rPr/>
        <w:t>Adozione del regolamento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2024</w:t>
      </w:r>
    </w:p>
    <w:p>
      <w:pPr>
        <w:pStyle w:val="Normal"/>
        <w:pBdr>
          <w:top w:val="single" w:sz="4" w:space="1" w:color="00000A"/>
          <w:left w:val="single" w:sz="4" w:space="4" w:color="00000A"/>
          <w:bottom w:val="single" w:sz="4" w:space="1" w:color="00000A"/>
          <w:right w:val="single" w:sz="4" w:space="4" w:color="00000A"/>
        </w:pBdr>
        <w:rPr/>
      </w:pPr>
      <w:r>
        <w:rPr/>
        <w:t>Ottimizzazione del regolamento</w:t>
      </w:r>
    </w:p>
    <w:p>
      <w:pPr>
        <w:pStyle w:val="Normal"/>
        <w:pBdr>
          <w:top w:val="single" w:sz="4" w:space="1" w:color="00000A"/>
          <w:left w:val="single" w:sz="4" w:space="4" w:color="00000A"/>
          <w:bottom w:val="single" w:sz="4" w:space="1" w:color="00000A"/>
          <w:right w:val="single" w:sz="4" w:space="4" w:color="00000A"/>
        </w:pBdr>
        <w:rPr/>
      </w:pPr>
      <w:r>
        <w:rPr/>
        <w:t>MONITORAGGIO</w:t>
      </w:r>
    </w:p>
    <w:p>
      <w:pPr>
        <w:pStyle w:val="Normal"/>
        <w:pBdr>
          <w:top w:val="single" w:sz="4" w:space="1" w:color="00000A"/>
          <w:left w:val="single" w:sz="4" w:space="4" w:color="00000A"/>
          <w:bottom w:val="single" w:sz="4" w:space="1" w:color="00000A"/>
          <w:right w:val="single" w:sz="4" w:space="4" w:color="00000A"/>
        </w:pBdr>
        <w:rPr/>
      </w:pPr>
      <w:r>
        <w:rPr/>
        <w:t xml:space="preserve">Verifica dell’adempimento e della relativa attuazione da parte del Responsabile anticorruzione. </w:t>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pBdr>
          <w:top w:val="single" w:sz="4" w:space="1" w:color="00000A"/>
          <w:left w:val="single" w:sz="4" w:space="4" w:color="00000A"/>
          <w:bottom w:val="single" w:sz="4" w:space="1" w:color="00000A"/>
          <w:right w:val="single" w:sz="4" w:space="4" w:color="00000A"/>
        </w:pBdr>
        <w:rPr>
          <w:b/>
          <w:b/>
        </w:rPr>
      </w:pPr>
      <w:r>
        <w:rPr>
          <w:b/>
          <w:color w:val="231F20"/>
        </w:rPr>
        <w:t xml:space="preserve">M14 </w:t>
      </w:r>
      <w:r>
        <w:rPr>
          <w:b/>
        </w:rPr>
        <w:t>– Regolamento missioni aziendali dei dipendenti / Consiglieri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 xml:space="preserve">Adozione di un regolamento destinato a disciplinare le modalità di svolgimento delle missioni di consiglieri, dirigenti e dei dipendenti, ove presenti. Verifica delle informazioni relative alle spese complessive di trasferta dell’eventuale personale dirigenziale, al fine di effettuare le pubblicazioni di cui all’art. 14 del D.lgs 33/13  </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2022</w:t>
      </w:r>
    </w:p>
    <w:p>
      <w:pPr>
        <w:pStyle w:val="Normal"/>
        <w:pBdr>
          <w:top w:val="single" w:sz="4" w:space="1" w:color="00000A"/>
          <w:left w:val="single" w:sz="4" w:space="4" w:color="00000A"/>
          <w:bottom w:val="single" w:sz="4" w:space="1" w:color="00000A"/>
          <w:right w:val="single" w:sz="4" w:space="4" w:color="00000A"/>
        </w:pBdr>
        <w:rPr/>
      </w:pPr>
      <w:r>
        <w:rPr/>
        <w:t>Redazione bozza di regolamento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2023</w:t>
      </w:r>
    </w:p>
    <w:p>
      <w:pPr>
        <w:pStyle w:val="Normal"/>
        <w:pBdr>
          <w:top w:val="single" w:sz="4" w:space="1" w:color="00000A"/>
          <w:left w:val="single" w:sz="4" w:space="4" w:color="00000A"/>
          <w:bottom w:val="single" w:sz="4" w:space="1" w:color="00000A"/>
          <w:right w:val="single" w:sz="4" w:space="4" w:color="00000A"/>
        </w:pBdr>
        <w:rPr/>
      </w:pPr>
      <w:r>
        <w:rPr/>
        <w:t>Adozione del regolamento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2024</w:t>
      </w:r>
    </w:p>
    <w:p>
      <w:pPr>
        <w:pStyle w:val="Normal"/>
        <w:pBdr>
          <w:top w:val="single" w:sz="4" w:space="1" w:color="00000A"/>
          <w:left w:val="single" w:sz="4" w:space="4" w:color="00000A"/>
          <w:bottom w:val="single" w:sz="4" w:space="1" w:color="00000A"/>
          <w:right w:val="single" w:sz="4" w:space="4" w:color="00000A"/>
        </w:pBdr>
        <w:rPr/>
      </w:pPr>
      <w:r>
        <w:rPr/>
        <w:t>Ottimizzazione del regolamento</w:t>
      </w:r>
    </w:p>
    <w:p>
      <w:pPr>
        <w:pStyle w:val="Normal"/>
        <w:pBdr>
          <w:top w:val="single" w:sz="4" w:space="1" w:color="00000A"/>
          <w:left w:val="single" w:sz="4" w:space="4" w:color="00000A"/>
          <w:bottom w:val="single" w:sz="4" w:space="1" w:color="00000A"/>
          <w:right w:val="single" w:sz="4" w:space="4" w:color="00000A"/>
        </w:pBdr>
        <w:rPr/>
      </w:pPr>
      <w:r>
        <w:rPr/>
        <w:t>MONITORAGGIO</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 nel corso della quale verrà verificata la completezza del regolamento.</w:t>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pBdr>
          <w:top w:val="single" w:sz="4" w:space="1" w:color="00000A"/>
          <w:left w:val="single" w:sz="4" w:space="4" w:color="00000A"/>
          <w:bottom w:val="single" w:sz="4" w:space="1" w:color="00000A"/>
          <w:right w:val="single" w:sz="4" w:space="4" w:color="00000A"/>
        </w:pBdr>
        <w:rPr>
          <w:b/>
          <w:b/>
        </w:rPr>
      </w:pPr>
      <w:r>
        <w:rPr>
          <w:b/>
          <w:color w:val="231F20"/>
        </w:rPr>
        <w:t xml:space="preserve">M15 </w:t>
      </w:r>
      <w:r>
        <w:rPr>
          <w:b/>
        </w:rPr>
        <w:t>– Regolamento utilizzo mezzi e strumenti dell’Ente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Adozione di un regolamento destinato a disciplinare l’uso degli strumenti a disposizione dei dipendenti (cellulari, telefoni fissi, p.c., veicoli ecc.), qualora in futuro ve ne siano, anche al fine di coordinare la normativa regolamentare dell’ente con le prescrizioni in materia dettate dall’art. 4 della L. 300/70, così come modificata dal Jobs Act.</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2022</w:t>
      </w:r>
    </w:p>
    <w:p>
      <w:pPr>
        <w:pStyle w:val="Normal"/>
        <w:pBdr>
          <w:top w:val="single" w:sz="4" w:space="1" w:color="00000A"/>
          <w:left w:val="single" w:sz="4" w:space="4" w:color="00000A"/>
          <w:bottom w:val="single" w:sz="4" w:space="1" w:color="00000A"/>
          <w:right w:val="single" w:sz="4" w:space="4" w:color="00000A"/>
        </w:pBdr>
        <w:rPr/>
      </w:pPr>
      <w:r>
        <w:rPr/>
        <w:t>Qualora in futuro vi siano dipendenti, verrà adottata una bozza di regolamento; previsione dell’adeguamento alla disciplina sulla geolocalizzazione del personale.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2022</w:t>
      </w:r>
    </w:p>
    <w:p>
      <w:pPr>
        <w:pStyle w:val="Normal"/>
        <w:pBdr>
          <w:top w:val="single" w:sz="4" w:space="1" w:color="00000A"/>
          <w:left w:val="single" w:sz="4" w:space="4" w:color="00000A"/>
          <w:bottom w:val="single" w:sz="4" w:space="1" w:color="00000A"/>
          <w:right w:val="single" w:sz="4" w:space="4" w:color="00000A"/>
        </w:pBdr>
        <w:rPr/>
      </w:pPr>
      <w:r>
        <w:rPr/>
        <w:t>Formazione del personale e adozione della misura, qualora presente.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2023</w:t>
      </w:r>
    </w:p>
    <w:p>
      <w:pPr>
        <w:pStyle w:val="Normal"/>
        <w:pBdr>
          <w:top w:val="single" w:sz="4" w:space="1" w:color="00000A"/>
          <w:left w:val="single" w:sz="4" w:space="4" w:color="00000A"/>
          <w:bottom w:val="single" w:sz="4" w:space="1" w:color="00000A"/>
          <w:right w:val="single" w:sz="4" w:space="4" w:color="00000A"/>
        </w:pBdr>
        <w:rPr/>
      </w:pPr>
      <w:r>
        <w:rPr/>
        <w:t>Formazione del personale, qualora presente</w:t>
      </w:r>
    </w:p>
    <w:p>
      <w:pPr>
        <w:pStyle w:val="Normal"/>
        <w:pBdr>
          <w:top w:val="single" w:sz="4" w:space="1" w:color="00000A"/>
          <w:left w:val="single" w:sz="4" w:space="4" w:color="00000A"/>
          <w:bottom w:val="single" w:sz="4" w:space="1" w:color="00000A"/>
          <w:right w:val="single" w:sz="4" w:space="4" w:color="00000A"/>
        </w:pBdr>
        <w:rPr/>
      </w:pPr>
      <w:r>
        <w:rPr/>
        <w:t>MONITORAGGIO</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 nel corso della quale verrà verificata la completezza del regolamento.</w:t>
      </w:r>
    </w:p>
    <w:p>
      <w:pPr>
        <w:pStyle w:val="Normal"/>
        <w:tabs>
          <w:tab w:val="clear" w:pos="708"/>
          <w:tab w:val="left" w:pos="3315" w:leader="none"/>
        </w:tabs>
        <w:rPr/>
      </w:pPr>
      <w:r>
        <w:rPr/>
      </w:r>
      <w:r>
        <w:br w:type="page"/>
      </w:r>
    </w:p>
    <w:p>
      <w:pPr>
        <w:pStyle w:val="Normal"/>
        <w:pBdr>
          <w:top w:val="single" w:sz="4" w:space="1" w:color="00000A"/>
          <w:left w:val="single" w:sz="4" w:space="4" w:color="00000A"/>
          <w:bottom w:val="single" w:sz="4" w:space="1" w:color="00000A"/>
          <w:right w:val="single" w:sz="4" w:space="4" w:color="00000A"/>
        </w:pBdr>
        <w:rPr>
          <w:b/>
          <w:b/>
        </w:rPr>
      </w:pPr>
      <w:r>
        <w:rPr>
          <w:b/>
          <w:color w:val="231F20"/>
        </w:rPr>
        <w:t xml:space="preserve">M16 </w:t>
      </w:r>
      <w:r>
        <w:rPr>
          <w:b/>
        </w:rPr>
        <w:t>– MISURE SPECIALI ORDINI PROFESSIONALI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u w:val="single"/>
        </w:rPr>
      </w:pPr>
      <w:r>
        <w:rPr>
          <w:u w:val="single"/>
        </w:rPr>
        <w:t>Misure per la formazione professionale continua (concessione di patrocinio)</w:t>
      </w:r>
    </w:p>
    <w:p>
      <w:pPr>
        <w:pStyle w:val="Normal"/>
        <w:pBdr>
          <w:top w:val="single" w:sz="4" w:space="1" w:color="00000A"/>
          <w:left w:val="single" w:sz="4" w:space="4" w:color="00000A"/>
          <w:bottom w:val="single" w:sz="4" w:space="1" w:color="00000A"/>
          <w:right w:val="single" w:sz="4" w:space="4" w:color="00000A"/>
        </w:pBdr>
        <w:rPr>
          <w:u w:val="single"/>
        </w:rPr>
      </w:pPr>
      <w:r>
        <w:rPr>
          <w:u w:val="single"/>
        </w:rPr>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w:t>
        <w:tab/>
        <w:t xml:space="preserve">controlli sull’attribuzione dei patrocini; </w:t>
      </w:r>
    </w:p>
    <w:p>
      <w:pPr>
        <w:pStyle w:val="Normal"/>
        <w:pBdr>
          <w:top w:val="single" w:sz="4" w:space="1" w:color="00000A"/>
          <w:left w:val="single" w:sz="4" w:space="4" w:color="00000A"/>
          <w:bottom w:val="single" w:sz="4" w:space="1" w:color="00000A"/>
          <w:right w:val="single" w:sz="4" w:space="4" w:color="00000A"/>
        </w:pBdr>
        <w:rPr/>
      </w:pPr>
      <w:r>
        <w:rPr/>
        <w:t>-</w:t>
        <w:tab/>
        <w:t>introduzione di adeguate misure di pubblicità e trasparenza legate agli eventi formativi oggetto di patrocinio</w:t>
      </w:r>
    </w:p>
    <w:p>
      <w:pPr>
        <w:pStyle w:val="Normal"/>
        <w:pBdr>
          <w:top w:val="single" w:sz="4" w:space="1" w:color="00000A"/>
          <w:left w:val="single" w:sz="4" w:space="4" w:color="00000A"/>
          <w:bottom w:val="single" w:sz="4" w:space="1" w:color="00000A"/>
          <w:right w:val="single" w:sz="4" w:space="4" w:color="00000A"/>
        </w:pBdr>
        <w:rPr/>
      </w:pPr>
      <w:r>
        <w:rPr/>
        <w:t>-</w:t>
        <w:tab/>
        <w:t>controlli a campione sull’effettiva presenza di Iscritti ai corsi di formazione, in relazione anche all’orario di entrata e uscita dal corso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u w:val="single"/>
        </w:rPr>
      </w:pPr>
      <w:r>
        <w:rPr>
          <w:u w:val="single"/>
        </w:rPr>
        <w:t>Misure per limitare discrezionalità nell’indicazione di professionisti per l’affidamento di incarichi specifici</w:t>
      </w:r>
    </w:p>
    <w:p>
      <w:pPr>
        <w:pStyle w:val="Normal"/>
        <w:pBdr>
          <w:top w:val="single" w:sz="4" w:space="1" w:color="00000A"/>
          <w:left w:val="single" w:sz="4" w:space="4" w:color="00000A"/>
          <w:bottom w:val="single" w:sz="4" w:space="1" w:color="00000A"/>
          <w:right w:val="single" w:sz="4" w:space="4" w:color="00000A"/>
        </w:pBdr>
        <w:rPr>
          <w:b/>
          <w:b/>
          <w:u w:val="single"/>
        </w:rPr>
      </w:pPr>
      <w:r>
        <w:rPr>
          <w:b/>
          <w:u w:val="single"/>
        </w:rPr>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w:t>
        <w:tab/>
        <w:t>Selezione di candidati, tra soggetti in possesso dei necessari requisiti, mediante estrazione a sorte in un’ampia rosa di professionisti.</w:t>
      </w:r>
    </w:p>
    <w:p>
      <w:pPr>
        <w:pStyle w:val="Normal"/>
        <w:pBdr>
          <w:top w:val="single" w:sz="4" w:space="1" w:color="00000A"/>
          <w:left w:val="single" w:sz="4" w:space="4" w:color="00000A"/>
          <w:bottom w:val="single" w:sz="4" w:space="1" w:color="00000A"/>
          <w:right w:val="single" w:sz="4" w:space="4" w:color="00000A"/>
        </w:pBdr>
        <w:rPr/>
      </w:pPr>
      <w:r>
        <w:rPr/>
        <w:t>-</w:t>
        <w:tab/>
        <w:t>Prevedere idonea motivazione dell’indicazione del soggetto (arbitro ecc.) in relazione a specifiche competenze / esperienze / pubblicazioni ecc.</w:t>
      </w:r>
    </w:p>
    <w:p>
      <w:pPr>
        <w:pStyle w:val="Normal"/>
        <w:pBdr>
          <w:top w:val="single" w:sz="4" w:space="1" w:color="00000A"/>
          <w:left w:val="single" w:sz="4" w:space="4" w:color="00000A"/>
          <w:bottom w:val="single" w:sz="4" w:space="1" w:color="00000A"/>
          <w:right w:val="single" w:sz="4" w:space="4" w:color="00000A"/>
        </w:pBdr>
        <w:rPr/>
      </w:pPr>
      <w:r>
        <w:rPr/>
        <w:t>-</w:t>
        <w:tab/>
        <w:t>Possibile rotazione.</w:t>
      </w:r>
    </w:p>
    <w:p>
      <w:pPr>
        <w:pStyle w:val="Normal"/>
        <w:pBdr>
          <w:top w:val="single" w:sz="4" w:space="1" w:color="00000A"/>
          <w:left w:val="single" w:sz="4" w:space="4" w:color="00000A"/>
          <w:bottom w:val="single" w:sz="4" w:space="1" w:color="00000A"/>
          <w:right w:val="single" w:sz="4" w:space="4" w:color="00000A"/>
        </w:pBdr>
        <w:rPr/>
      </w:pPr>
      <w:r>
        <w:rPr/>
        <w:t>-</w:t>
        <w:tab/>
        <w:t xml:space="preserve"> verifica dell’insussistenza di situazioni, anche potenziali, di conflitto di interesse nei confronti del soggetto che nomina il professionista a cui affidare l’incarico richiesto, del professionista designato, dei soggetti pubblici o privati richiedenti, del soggetto destinatario delle prestazioni professionali; </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u w:val="single"/>
        </w:rPr>
      </w:pPr>
      <w:r>
        <w:rPr>
          <w:u w:val="single"/>
        </w:rPr>
        <w:t>Misure per gestione convenzioni con soggetti privati per la fornitura di servizi vari a canoni agevolati riservati agli iscritti</w:t>
      </w:r>
    </w:p>
    <w:p>
      <w:pPr>
        <w:pStyle w:val="Normal"/>
        <w:pBdr>
          <w:top w:val="single" w:sz="4" w:space="1" w:color="00000A"/>
          <w:left w:val="single" w:sz="4" w:space="4" w:color="00000A"/>
          <w:bottom w:val="single" w:sz="4" w:space="1" w:color="00000A"/>
          <w:right w:val="single" w:sz="4" w:space="4" w:color="00000A"/>
        </w:pBdr>
        <w:rPr>
          <w:b/>
          <w:b/>
          <w:u w:val="single"/>
        </w:rPr>
      </w:pPr>
      <w:r>
        <w:rPr>
          <w:b/>
          <w:u w:val="single"/>
        </w:rPr>
      </w:r>
    </w:p>
    <w:p>
      <w:pPr>
        <w:pStyle w:val="Normal"/>
        <w:pBdr>
          <w:top w:val="single" w:sz="4" w:space="1" w:color="00000A"/>
          <w:left w:val="single" w:sz="4" w:space="4" w:color="00000A"/>
          <w:bottom w:val="single" w:sz="4" w:space="1" w:color="00000A"/>
          <w:right w:val="single" w:sz="4" w:space="4" w:color="00000A"/>
        </w:pBdr>
        <w:rPr/>
      </w:pPr>
      <w:r>
        <w:rPr/>
        <w:t xml:space="preserve">Descrizione </w:t>
      </w:r>
    </w:p>
    <w:p>
      <w:pPr>
        <w:pStyle w:val="Normal"/>
        <w:pBdr>
          <w:top w:val="single" w:sz="4" w:space="1" w:color="00000A"/>
          <w:left w:val="single" w:sz="4" w:space="4" w:color="00000A"/>
          <w:bottom w:val="single" w:sz="4" w:space="1" w:color="00000A"/>
          <w:right w:val="single" w:sz="4" w:space="4" w:color="00000A"/>
        </w:pBdr>
        <w:rPr/>
      </w:pPr>
      <w:r>
        <w:rPr/>
        <w:t>-</w:t>
        <w:tab/>
        <w:t xml:space="preserve">Prevedere una raccolta/valutazione annuale dei bisogni da parte degli iscritti per identificazione delle aree di maggior interesse </w:t>
      </w:r>
    </w:p>
    <w:p>
      <w:pPr>
        <w:pStyle w:val="Normal"/>
        <w:pBdr>
          <w:top w:val="single" w:sz="4" w:space="1" w:color="00000A"/>
          <w:left w:val="single" w:sz="4" w:space="4" w:color="00000A"/>
          <w:bottom w:val="single" w:sz="4" w:space="1" w:color="00000A"/>
          <w:right w:val="single" w:sz="4" w:space="4" w:color="00000A"/>
        </w:pBdr>
        <w:rPr/>
      </w:pPr>
      <w:r>
        <w:rPr/>
        <w:t>-</w:t>
        <w:tab/>
        <w:t>Selezione dei soggetti privati che propongono le convenzioni attraverso un’analisi di mercato in merito al servizio proposto</w:t>
      </w:r>
    </w:p>
    <w:p>
      <w:pPr>
        <w:pStyle w:val="Normal"/>
        <w:pBdr>
          <w:top w:val="single" w:sz="4" w:space="1" w:color="00000A"/>
          <w:left w:val="single" w:sz="4" w:space="4" w:color="00000A"/>
          <w:bottom w:val="single" w:sz="4" w:space="1" w:color="00000A"/>
          <w:right w:val="single" w:sz="4" w:space="4" w:color="00000A"/>
        </w:pBdr>
        <w:rPr/>
      </w:pPr>
      <w:r>
        <w:rPr/>
        <w:t>-</w:t>
        <w:tab/>
        <w:t>Prevedere idonea motivazione dell’indicazione del soggetto (arbitro ecc.) in relazione a specifiche competenze / esperienze / pubblicazioni ecc.</w:t>
      </w:r>
    </w:p>
    <w:p>
      <w:pPr>
        <w:pStyle w:val="Normal"/>
        <w:pBdr>
          <w:top w:val="single" w:sz="4" w:space="1" w:color="00000A"/>
          <w:left w:val="single" w:sz="4" w:space="4" w:color="00000A"/>
          <w:bottom w:val="single" w:sz="4" w:space="1" w:color="00000A"/>
          <w:right w:val="single" w:sz="4" w:space="4" w:color="00000A"/>
        </w:pBdr>
        <w:rPr/>
      </w:pPr>
      <w:r>
        <w:rPr/>
        <w:t>-</w:t>
        <w:tab/>
        <w:t>Possibile rotazione.</w:t>
      </w:r>
    </w:p>
    <w:p>
      <w:pPr>
        <w:pStyle w:val="Normal"/>
        <w:pBdr>
          <w:top w:val="single" w:sz="4" w:space="1" w:color="00000A"/>
          <w:left w:val="single" w:sz="4" w:space="4" w:color="00000A"/>
          <w:bottom w:val="single" w:sz="4" w:space="1" w:color="00000A"/>
          <w:right w:val="single" w:sz="4" w:space="4" w:color="00000A"/>
        </w:pBdr>
        <w:rPr/>
      </w:pPr>
      <w:r>
        <w:rPr/>
        <w:t>-</w:t>
        <w:tab/>
        <w:t>Verifica dell’insussistenza di situazioni, anche potenziali, di conflitto di interesse nei confronti dei membri del Consiglio e dei soggetti pubblici o privati proponenti la convenzione prestazioni professionali;</w:t>
      </w:r>
    </w:p>
    <w:p>
      <w:pPr>
        <w:pStyle w:val="Normal"/>
        <w:pBdr>
          <w:top w:val="single" w:sz="4" w:space="1" w:color="00000A"/>
          <w:left w:val="single" w:sz="4" w:space="4" w:color="00000A"/>
          <w:bottom w:val="single" w:sz="4" w:space="1" w:color="00000A"/>
          <w:right w:val="single" w:sz="4" w:space="4" w:color="00000A"/>
        </w:pBdr>
        <w:rPr>
          <w:highlight w:val="none"/>
          <w:shd w:fill="auto" w:val="clear"/>
        </w:rPr>
      </w:pPr>
      <w:r>
        <w:rPr>
          <w:shd w:fill="auto" w:val="clear"/>
        </w:rPr>
      </w:r>
    </w:p>
    <w:p>
      <w:pPr>
        <w:pStyle w:val="Normal"/>
        <w:pBdr>
          <w:top w:val="single" w:sz="4" w:space="1" w:color="00000A"/>
          <w:left w:val="single" w:sz="4" w:space="4" w:color="00000A"/>
          <w:bottom w:val="single" w:sz="4" w:space="1" w:color="00000A"/>
          <w:right w:val="single" w:sz="4" w:space="4" w:color="00000A"/>
        </w:pBdr>
        <w:rPr>
          <w:highlight w:val="none"/>
          <w:shd w:fill="auto" w:val="clear"/>
        </w:rPr>
      </w:pPr>
      <w:r>
        <w:rPr>
          <w:shd w:fill="auto" w:val="clear"/>
        </w:rPr>
        <w:t>ALTRE MISURE:</w:t>
      </w:r>
    </w:p>
    <w:p>
      <w:pPr>
        <w:pStyle w:val="Normal"/>
        <w:pBdr>
          <w:top w:val="single" w:sz="4" w:space="1" w:color="00000A"/>
          <w:left w:val="single" w:sz="4" w:space="4" w:color="00000A"/>
          <w:bottom w:val="single" w:sz="4" w:space="1" w:color="00000A"/>
          <w:right w:val="single" w:sz="4" w:space="4" w:color="00000A"/>
        </w:pBdr>
        <w:rPr>
          <w:highlight w:val="none"/>
          <w:shd w:fill="auto" w:val="clear"/>
        </w:rPr>
      </w:pPr>
      <w:r>
        <w:rPr>
          <w:shd w:fill="auto" w:val="clear"/>
        </w:rPr>
        <w:t>- Monitoraggio periodico dello stato avanzamento dei procedimenti di recupero e riscossione dei crediti sia in fase amministrativa sia in fase di riscossione coatta;</w:t>
      </w:r>
    </w:p>
    <w:p>
      <w:pPr>
        <w:pStyle w:val="Normal"/>
        <w:pBdr>
          <w:top w:val="single" w:sz="4" w:space="1" w:color="00000A"/>
          <w:left w:val="single" w:sz="4" w:space="4" w:color="00000A"/>
          <w:bottom w:val="single" w:sz="4" w:space="1" w:color="00000A"/>
          <w:right w:val="single" w:sz="4" w:space="4" w:color="00000A"/>
        </w:pBdr>
        <w:rPr>
          <w:highlight w:val="none"/>
          <w:shd w:fill="auto" w:val="clear"/>
        </w:rPr>
      </w:pPr>
      <w:r>
        <w:rPr>
          <w:shd w:fill="auto" w:val="clear"/>
        </w:rPr>
        <w:t>- Adozione di delibera consiliare per trasmissione elenco morosi a Consiglio di disciplina territoriale</w:t>
      </w:r>
    </w:p>
    <w:p>
      <w:pPr>
        <w:pStyle w:val="Normal"/>
        <w:pBdr>
          <w:top w:val="single" w:sz="4" w:space="1" w:color="00000A"/>
          <w:left w:val="single" w:sz="4" w:space="4" w:color="00000A"/>
          <w:bottom w:val="single" w:sz="4" w:space="1" w:color="00000A"/>
          <w:right w:val="single" w:sz="4" w:space="4" w:color="00000A"/>
        </w:pBdr>
        <w:rPr>
          <w:highlight w:val="none"/>
          <w:shd w:fill="auto" w:val="clear"/>
        </w:rPr>
      </w:pPr>
      <w:r>
        <w:rPr>
          <w:shd w:fill="auto" w:val="clear"/>
        </w:rPr>
        <w:t>- Verifica sulla composizione delle commissioni esaminatrici (assenza di incompatibilità, condanne penali etc)</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2022</w:t>
      </w:r>
    </w:p>
    <w:p>
      <w:pPr>
        <w:pStyle w:val="Normal"/>
        <w:pBdr>
          <w:top w:val="single" w:sz="4" w:space="1" w:color="00000A"/>
          <w:left w:val="single" w:sz="4" w:space="4" w:color="00000A"/>
          <w:bottom w:val="single" w:sz="4" w:space="1" w:color="00000A"/>
          <w:right w:val="single" w:sz="4" w:space="4" w:color="00000A"/>
        </w:pBdr>
        <w:rPr/>
      </w:pPr>
      <w:r>
        <w:rPr/>
        <w:t>In corso di attuazione</w:t>
      </w:r>
    </w:p>
    <w:p>
      <w:pPr>
        <w:pStyle w:val="Normal"/>
        <w:pBdr>
          <w:top w:val="single" w:sz="4" w:space="1" w:color="00000A"/>
          <w:left w:val="single" w:sz="4" w:space="4" w:color="00000A"/>
          <w:bottom w:val="single" w:sz="4" w:space="1" w:color="00000A"/>
          <w:right w:val="single" w:sz="4" w:space="4" w:color="00000A"/>
        </w:pBdr>
        <w:rPr>
          <w:highlight w:val="yellow"/>
        </w:rPr>
      </w:pPr>
      <w:r>
        <w:rPr>
          <w:highlight w:val="yellow"/>
        </w:rPr>
      </w:r>
    </w:p>
    <w:p>
      <w:pPr>
        <w:pStyle w:val="Normal"/>
        <w:pBdr>
          <w:top w:val="single" w:sz="4" w:space="1" w:color="00000A"/>
          <w:left w:val="single" w:sz="4" w:space="4" w:color="00000A"/>
          <w:bottom w:val="single" w:sz="4" w:space="1" w:color="00000A"/>
          <w:right w:val="single" w:sz="4" w:space="4" w:color="00000A"/>
        </w:pBdr>
        <w:rPr/>
      </w:pPr>
      <w:r>
        <w:rPr/>
        <w:t>SVILUPPO DELLA MISURA PER IL 2023</w:t>
      </w:r>
    </w:p>
    <w:p>
      <w:pPr>
        <w:pStyle w:val="Normal"/>
        <w:pBdr>
          <w:top w:val="single" w:sz="4" w:space="1" w:color="00000A"/>
          <w:left w:val="single" w:sz="4" w:space="4" w:color="00000A"/>
          <w:bottom w:val="single" w:sz="4" w:space="1" w:color="00000A"/>
          <w:right w:val="single" w:sz="4" w:space="4" w:color="00000A"/>
        </w:pBdr>
        <w:rPr/>
      </w:pPr>
      <w:r>
        <w:rPr/>
        <w:t>Verifica dell’avvenuta attuazione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2024</w:t>
      </w:r>
    </w:p>
    <w:p>
      <w:pPr>
        <w:pStyle w:val="Normal"/>
        <w:pBdr>
          <w:top w:val="single" w:sz="4" w:space="1" w:color="00000A"/>
          <w:left w:val="single" w:sz="4" w:space="4" w:color="00000A"/>
          <w:bottom w:val="single" w:sz="4" w:space="1" w:color="00000A"/>
          <w:right w:val="single" w:sz="4" w:space="4" w:color="00000A"/>
        </w:pBdr>
        <w:rPr/>
      </w:pPr>
      <w:r>
        <w:rPr/>
        <w:t>Integrazioni - verifiche</w:t>
      </w:r>
      <w:bookmarkStart w:id="0" w:name="_GoBack"/>
      <w:bookmarkEnd w:id="0"/>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MONITORAGGIO</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 nel corso della quale verrà verificata la completezza del regolamento.</w:t>
      </w:r>
    </w:p>
    <w:sectPr>
      <w:type w:val="nextPage"/>
      <w:pgSz w:w="11906" w:h="16838"/>
      <w:pgMar w:left="1134" w:right="1134" w:gutter="0" w:header="0" w:top="1417" w:footer="0" w:bottom="1134"/>
      <w:pgNumType w:fmt="decimal"/>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both"/>
    </w:pPr>
    <w:rPr>
      <w:rFonts w:ascii="Calibri" w:hAnsi="Calibri" w:eastAsia="Calibri" w:cs="Times New Roman"/>
      <w:color w:val="auto"/>
      <w:kern w:val="0"/>
      <w:sz w:val="22"/>
      <w:szCs w:val="22"/>
      <w:lang w:eastAsia="en-US" w:val="it-IT" w:bidi="ar-SA"/>
    </w:rPr>
  </w:style>
  <w:style w:type="character" w:styleId="DefaultParagraphFont" w:default="1">
    <w:name w:val="Default Paragraph Font"/>
    <w:uiPriority w:val="1"/>
    <w:unhideWhenUsed/>
    <w:qFormat/>
    <w:rPr/>
  </w:style>
  <w:style w:type="character" w:styleId="TestofumettoCarattere" w:customStyle="1">
    <w:name w:val="Testo fumetto Carattere"/>
    <w:link w:val="Testofumetto"/>
    <w:uiPriority w:val="99"/>
    <w:semiHidden/>
    <w:qFormat/>
    <w:rsid w:val="00fc4b8e"/>
    <w:rPr>
      <w:rFonts w:ascii="Tahoma" w:hAnsi="Tahoma" w:cs="Tahoma"/>
      <w:sz w:val="16"/>
      <w:szCs w:val="16"/>
      <w:lang w:eastAsia="en-US"/>
    </w:rPr>
  </w:style>
  <w:style w:type="character" w:styleId="IntestazioneCarattere" w:customStyle="1">
    <w:name w:val="Intestazione Carattere"/>
    <w:basedOn w:val="DefaultParagraphFont"/>
    <w:link w:val="Intestazione"/>
    <w:uiPriority w:val="99"/>
    <w:qFormat/>
    <w:rsid w:val="002a6348"/>
    <w:rPr>
      <w:sz w:val="22"/>
      <w:szCs w:val="22"/>
      <w:lang w:eastAsia="en-US"/>
    </w:rPr>
  </w:style>
  <w:style w:type="character" w:styleId="PidipaginaCarattere" w:customStyle="1">
    <w:name w:val="Piè di pagina Carattere"/>
    <w:basedOn w:val="DefaultParagraphFont"/>
    <w:link w:val="Pidipagina"/>
    <w:uiPriority w:val="99"/>
    <w:qFormat/>
    <w:rsid w:val="002a6348"/>
    <w:rPr>
      <w:sz w:val="22"/>
      <w:szCs w:val="22"/>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BalloonText">
    <w:name w:val="Balloon Text"/>
    <w:basedOn w:val="Normal"/>
    <w:link w:val="TestofumettoCarattere"/>
    <w:uiPriority w:val="99"/>
    <w:semiHidden/>
    <w:unhideWhenUsed/>
    <w:qFormat/>
    <w:rsid w:val="00fc4b8e"/>
    <w:pPr/>
    <w:rPr>
      <w:rFonts w:ascii="Tahoma" w:hAnsi="Tahoma" w:cs="Tahoma"/>
      <w:sz w:val="16"/>
      <w:szCs w:val="16"/>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2a6348"/>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2a6348"/>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Application>LibreOffice/7.2.4.1$Windows_X86_64 LibreOffice_project/27d75539669ac387bb498e35313b970b7fe9c4f9</Application>
  <AppVersion>15.0000</AppVersion>
  <DocSecurity>0</DocSecurity>
  <Pages>17</Pages>
  <Words>2742</Words>
  <Characters>17229</Characters>
  <CharactersWithSpaces>19778</CharactersWithSpaces>
  <Paragraphs>230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2021-11-25T11:49:00Z</dcterms:created>
  <dc:creator>paolo</dc:creator>
  <dc:description/>
  <dc:language>it-IT</dc:language>
  <cp:lastModifiedBy/>
  <cp:lastPrinted>2016-10-19T09:42:00Z</cp:lastPrinted>
  <dcterms:modified xsi:type="dcterms:W3CDTF">2022-01-16T15:05:21Z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